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1930"/>
        <w:gridCol w:w="510"/>
        <w:gridCol w:w="3948"/>
        <w:gridCol w:w="4561"/>
      </w:tblGrid>
      <w:tr w:rsidR="007F6673">
        <w:trPr>
          <w:trHeight w:val="2610"/>
        </w:trPr>
        <w:tc>
          <w:tcPr>
            <w:tcW w:w="2726" w:type="dxa"/>
            <w:gridSpan w:val="3"/>
            <w:tcBorders>
              <w:bottom w:val="nil"/>
              <w:right w:val="nil"/>
            </w:tcBorders>
          </w:tcPr>
          <w:p w:rsidR="007F6673" w:rsidRDefault="007F6673">
            <w:pPr>
              <w:pStyle w:val="TableParagraph"/>
              <w:spacing w:before="1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7F6673" w:rsidRDefault="001B345D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99526" cy="9010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6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gridSpan w:val="2"/>
            <w:tcBorders>
              <w:left w:val="nil"/>
              <w:bottom w:val="single" w:sz="4" w:space="0" w:color="000000"/>
            </w:tcBorders>
          </w:tcPr>
          <w:p w:rsidR="007F6673" w:rsidRDefault="001B345D">
            <w:pPr>
              <w:pStyle w:val="TableParagraph"/>
              <w:spacing w:before="47"/>
              <w:ind w:left="365" w:right="2146"/>
              <w:rPr>
                <w:b/>
                <w:sz w:val="36"/>
              </w:rPr>
            </w:pPr>
            <w:r>
              <w:rPr>
                <w:b/>
                <w:sz w:val="36"/>
              </w:rPr>
              <w:t>Political Committees and Electioneering Communications Organizations</w:t>
            </w:r>
          </w:p>
          <w:p w:rsidR="007F6673" w:rsidRDefault="001B345D">
            <w:pPr>
              <w:pStyle w:val="TableParagraph"/>
              <w:spacing w:line="229" w:lineRule="exact"/>
              <w:ind w:left="38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DE Reference Guide 0017 (Updated 6/2019)</w:t>
            </w:r>
          </w:p>
          <w:p w:rsidR="007F6673" w:rsidRDefault="001B345D">
            <w:pPr>
              <w:pStyle w:val="TableParagraph"/>
              <w:ind w:left="382" w:right="742"/>
              <w:rPr>
                <w:rFonts w:ascii="Book Antiqua"/>
                <w:i/>
                <w:sz w:val="16"/>
              </w:rPr>
            </w:pPr>
            <w:r>
              <w:rPr>
                <w:rFonts w:ascii="Book Antiqua"/>
                <w:i/>
                <w:sz w:val="16"/>
              </w:rPr>
              <w:t xml:space="preserve">These guidelines are for reference only. They are not to be construed as legal advice or representation. For any </w:t>
            </w:r>
            <w:r>
              <w:rPr>
                <w:rFonts w:ascii="Book Antiqua"/>
                <w:i/>
                <w:sz w:val="16"/>
              </w:rPr>
              <w:t>particular set of facts or circumstances, refer to the applicable state law, federal law, and case law, and/or consult a private attorney before drawing any legal conclusions or relying upon this information.</w:t>
            </w:r>
          </w:p>
          <w:p w:rsidR="007F6673" w:rsidRDefault="007F667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F6673" w:rsidRDefault="001B345D">
            <w:pPr>
              <w:pStyle w:val="TableParagraph"/>
              <w:ind w:left="382"/>
              <w:rPr>
                <w:b/>
              </w:rPr>
            </w:pPr>
            <w:r>
              <w:rPr>
                <w:b/>
                <w:color w:val="0000E2"/>
                <w:sz w:val="28"/>
              </w:rPr>
              <w:t>C</w:t>
            </w:r>
            <w:r>
              <w:rPr>
                <w:b/>
                <w:color w:val="0000E2"/>
              </w:rPr>
              <w:t xml:space="preserve">OMPARISON </w:t>
            </w:r>
            <w:r>
              <w:rPr>
                <w:b/>
                <w:color w:val="0000E2"/>
                <w:sz w:val="28"/>
              </w:rPr>
              <w:t>C</w:t>
            </w:r>
            <w:r>
              <w:rPr>
                <w:b/>
                <w:color w:val="0000E2"/>
              </w:rPr>
              <w:t>HART</w:t>
            </w:r>
          </w:p>
        </w:tc>
      </w:tr>
      <w:tr w:rsidR="007F6673">
        <w:trPr>
          <w:trHeight w:val="777"/>
        </w:trPr>
        <w:tc>
          <w:tcPr>
            <w:tcW w:w="28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21"/>
              <w:ind w:left="1115"/>
              <w:rPr>
                <w:b/>
              </w:rPr>
            </w:pPr>
            <w:r>
              <w:rPr>
                <w:b/>
                <w:color w:val="0000FF"/>
              </w:rPr>
              <w:t>Political Committee (PC)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:rsidR="007F6673" w:rsidRDefault="001B345D">
            <w:pPr>
              <w:pStyle w:val="TableParagraph"/>
              <w:spacing w:before="119"/>
              <w:ind w:left="2015" w:right="214" w:hanging="1762"/>
              <w:rPr>
                <w:b/>
              </w:rPr>
            </w:pPr>
            <w:r>
              <w:rPr>
                <w:b/>
                <w:color w:val="0000FF"/>
              </w:rPr>
              <w:t>Electioneering Communication Organization (ECO)</w:t>
            </w:r>
          </w:p>
        </w:tc>
      </w:tr>
      <w:tr w:rsidR="007F6673">
        <w:trPr>
          <w:trHeight w:val="10467"/>
        </w:trPr>
        <w:tc>
          <w:tcPr>
            <w:tcW w:w="28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9"/>
              <w:ind w:left="114"/>
              <w:rPr>
                <w:b/>
              </w:rPr>
            </w:pPr>
            <w:r>
              <w:rPr>
                <w:b/>
                <w:color w:val="0000FF"/>
              </w:rPr>
              <w:t>Purpose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19"/>
              <w:ind w:right="177" w:hanging="225"/>
            </w:pPr>
            <w:r>
              <w:t>To support or oppose any candidate, issue*, PC, ECO, or political</w:t>
            </w:r>
            <w:r>
              <w:rPr>
                <w:spacing w:val="-3"/>
              </w:rPr>
              <w:t xml:space="preserve"> </w:t>
            </w:r>
            <w:r>
              <w:t>party.</w:t>
            </w:r>
          </w:p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21"/>
              <w:ind w:left="323" w:hanging="211"/>
            </w:pPr>
            <w:r>
              <w:t>May make independent</w:t>
            </w:r>
            <w:r>
              <w:rPr>
                <w:spacing w:val="-3"/>
              </w:rPr>
              <w:t xml:space="preserve"> </w:t>
            </w:r>
            <w:r>
              <w:t>expenditures</w:t>
            </w:r>
          </w:p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21"/>
              <w:ind w:right="161" w:hanging="225"/>
            </w:pPr>
            <w:r>
              <w:t>May make electioneering communications (if political committee supports</w:t>
            </w:r>
            <w:r>
              <w:rPr>
                <w:spacing w:val="-12"/>
              </w:rPr>
              <w:t xml:space="preserve"> </w:t>
            </w:r>
            <w:r>
              <w:t>candidates).</w:t>
            </w:r>
          </w:p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18"/>
              <w:ind w:right="619" w:hanging="225"/>
              <w:rPr>
                <w:i/>
              </w:rPr>
            </w:pPr>
            <w:r>
              <w:t xml:space="preserve">*A sponsor of a constitutional initiative petition must be a PC.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100.371</w:t>
            </w:r>
            <w:r>
              <w:rPr>
                <w:i/>
              </w:rPr>
              <w:t>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7F6673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F6673" w:rsidRDefault="001B345D">
            <w:pPr>
              <w:pStyle w:val="TableParagraph"/>
              <w:ind w:left="157"/>
            </w:pPr>
            <w:r>
              <w:rPr>
                <w:b/>
              </w:rPr>
              <w:t xml:space="preserve">Independent expenditure </w:t>
            </w:r>
            <w:r>
              <w:t>=</w:t>
            </w:r>
          </w:p>
          <w:p w:rsidR="007F6673" w:rsidRDefault="001B345D">
            <w:pPr>
              <w:pStyle w:val="TableParagraph"/>
              <w:spacing w:before="120"/>
              <w:ind w:left="155" w:right="401"/>
              <w:rPr>
                <w:i/>
              </w:rPr>
            </w:pPr>
            <w:r>
              <w:t xml:space="preserve">An expenditure made for the purpose of expressly advocating the election/defeat of candidate/issue, which expenditure is not controlled by, coordinated with, or made upon consultation with any candidate, political committee, or agent of such.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(12</w:t>
            </w:r>
            <w:r>
              <w:rPr>
                <w:i/>
              </w:rPr>
              <w:t>), F.S.)</w:t>
            </w:r>
          </w:p>
          <w:p w:rsidR="007F6673" w:rsidRDefault="007F667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F6673" w:rsidRDefault="001B345D">
            <w:pPr>
              <w:pStyle w:val="TableParagraph"/>
              <w:ind w:left="157"/>
              <w:rPr>
                <w:i/>
              </w:rPr>
            </w:pPr>
            <w:r>
              <w:rPr>
                <w:i/>
              </w:rPr>
              <w:t>Note about independent expenditures:</w:t>
            </w:r>
          </w:p>
          <w:p w:rsidR="007F6673" w:rsidRDefault="007F667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45" w:hanging="225"/>
              <w:rPr>
                <w:i/>
              </w:rPr>
            </w:pPr>
            <w:r>
              <w:rPr>
                <w:b/>
              </w:rPr>
              <w:t xml:space="preserve">If made by an individual: </w:t>
            </w:r>
            <w:r>
              <w:t xml:space="preserve">No limit on amount of independent expenditures exists, but if $5000 or more, must file reports as if was a PC.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106.071</w:t>
            </w:r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7F6673">
            <w:pPr>
              <w:pStyle w:val="TableParagraph"/>
              <w:rPr>
                <w:rFonts w:ascii="Times New Roman"/>
                <w:sz w:val="21"/>
              </w:rPr>
            </w:pPr>
          </w:p>
          <w:p w:rsidR="007F6673" w:rsidRDefault="001B345D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40" w:hanging="225"/>
            </w:pPr>
            <w:r>
              <w:rPr>
                <w:b/>
              </w:rPr>
              <w:t>If made by a corporation or business entity</w:t>
            </w:r>
            <w:r>
              <w:t>: If independent expenditure is for/against an issue: No limit on the amount of independent expenditures exists, but</w:t>
            </w:r>
            <w:r>
              <w:rPr>
                <w:spacing w:val="-4"/>
              </w:rPr>
              <w:t xml:space="preserve"> </w:t>
            </w:r>
            <w:r>
              <w:t>if</w:t>
            </w:r>
          </w:p>
          <w:p w:rsidR="007F6673" w:rsidRDefault="001B345D">
            <w:pPr>
              <w:pStyle w:val="TableParagraph"/>
              <w:ind w:left="337" w:right="117"/>
              <w:rPr>
                <w:i/>
              </w:rPr>
            </w:pPr>
            <w:r>
              <w:t xml:space="preserve">$5000 or more, must file reports as if was a PC.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106.071</w:t>
            </w:r>
            <w:r>
              <w:rPr>
                <w:i/>
              </w:rPr>
              <w:t xml:space="preserve">, F.S.) </w:t>
            </w:r>
            <w:r>
              <w:t>However, if independent expenditure is for/against a candidate &gt; $500</w:t>
            </w:r>
            <w:r>
              <w:t xml:space="preserve">: no limit, but must register as PC and file reports as PC.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 xml:space="preserve">(16)(b)2., F.S.) -- See </w:t>
            </w:r>
            <w:hyperlink r:id="rId7">
              <w:r>
                <w:rPr>
                  <w:i/>
                  <w:color w:val="0562C1"/>
                  <w:u w:val="single" w:color="0562C1"/>
                </w:rPr>
                <w:t>Advisory</w:t>
              </w:r>
            </w:hyperlink>
          </w:p>
          <w:p w:rsidR="007F6673" w:rsidRDefault="001B345D">
            <w:pPr>
              <w:pStyle w:val="TableParagraph"/>
              <w:spacing w:before="1"/>
              <w:ind w:left="337"/>
              <w:rPr>
                <w:i/>
              </w:rPr>
            </w:pPr>
            <w:hyperlink r:id="rId8">
              <w:r>
                <w:rPr>
                  <w:i/>
                  <w:color w:val="0562C1"/>
                  <w:u w:val="single" w:color="0562C1"/>
                </w:rPr>
                <w:t>Opinion</w:t>
              </w:r>
              <w:r>
                <w:rPr>
                  <w:i/>
                  <w:color w:val="0562C1"/>
                </w:rPr>
                <w:t xml:space="preserve"> </w:t>
              </w:r>
            </w:hyperlink>
            <w:r>
              <w:rPr>
                <w:i/>
              </w:rPr>
              <w:t>DE 12-08.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6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19"/>
              <w:ind w:right="322"/>
              <w:rPr>
                <w:i/>
              </w:rPr>
            </w:pPr>
            <w:r>
              <w:t>Election-related activities are limited to making expenditures for electioneering communications or accepting contributions for the purpose of making electioneering commun</w:t>
            </w:r>
            <w:r>
              <w:t xml:space="preserve">ications and such activities would not otherwise require the organization to register as a political party, or political committee.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(9),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21"/>
              <w:ind w:right="96"/>
              <w:rPr>
                <w:i/>
              </w:rPr>
            </w:pPr>
            <w:r>
              <w:t xml:space="preserve">May </w:t>
            </w:r>
            <w:r>
              <w:rPr>
                <w:b/>
              </w:rPr>
              <w:t xml:space="preserve">not </w:t>
            </w:r>
            <w:r>
              <w:t>“expressly advocate” the election or defeat of a candidate, but the communication must be susce</w:t>
            </w:r>
            <w:r>
              <w:t>ptible of no reasonable interpretation other than an appeal to vote for or against a specific candidate.</w:t>
            </w:r>
            <w:r>
              <w:rPr>
                <w:i/>
              </w:rPr>
              <w:t>(§</w:t>
            </w:r>
            <w:r>
              <w:rPr>
                <w:i/>
                <w:color w:val="0562C1"/>
                <w:u w:val="single" w:color="0562C1"/>
              </w:rPr>
              <w:t xml:space="preserve"> 106.011</w:t>
            </w:r>
            <w:r>
              <w:rPr>
                <w:i/>
              </w:rPr>
              <w:t>(8),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spacing w:before="4"/>
              <w:rPr>
                <w:rFonts w:ascii="Times New Roman"/>
              </w:rPr>
            </w:pPr>
          </w:p>
          <w:p w:rsidR="007F6673" w:rsidRDefault="001B345D">
            <w:pPr>
              <w:pStyle w:val="TableParagraph"/>
              <w:ind w:left="114"/>
            </w:pPr>
            <w:r>
              <w:rPr>
                <w:b/>
              </w:rPr>
              <w:t xml:space="preserve">Electioneering communications </w:t>
            </w:r>
            <w:r>
              <w:t>=</w:t>
            </w:r>
          </w:p>
          <w:p w:rsidR="007F6673" w:rsidRDefault="001B345D">
            <w:pPr>
              <w:pStyle w:val="TableParagraph"/>
              <w:numPr>
                <w:ilvl w:val="1"/>
                <w:numId w:val="15"/>
              </w:numPr>
              <w:tabs>
                <w:tab w:val="left" w:pos="594"/>
              </w:tabs>
              <w:spacing w:before="121"/>
              <w:ind w:right="179" w:hanging="269"/>
            </w:pPr>
            <w:r>
              <w:t>Communication publicly distributed by TV station, radio station, cable TV system, satellite system, newspaper, magazine, direct mail, or</w:t>
            </w:r>
            <w:r>
              <w:rPr>
                <w:spacing w:val="-4"/>
              </w:rPr>
              <w:t xml:space="preserve"> </w:t>
            </w:r>
            <w:r>
              <w:t>telephone;</w:t>
            </w:r>
          </w:p>
          <w:p w:rsidR="007F6673" w:rsidRDefault="001B345D">
            <w:pPr>
              <w:pStyle w:val="TableParagraph"/>
              <w:numPr>
                <w:ilvl w:val="1"/>
                <w:numId w:val="15"/>
              </w:numPr>
              <w:tabs>
                <w:tab w:val="left" w:pos="594"/>
              </w:tabs>
              <w:spacing w:before="118"/>
              <w:ind w:right="132" w:hanging="269"/>
            </w:pPr>
            <w:r>
              <w:t>Refers to a clearly identified candidate without expressly advocating election or defeat, but is susceptible</w:t>
            </w:r>
            <w:r>
              <w:t xml:space="preserve"> of no reasonable interpretation other than appeal to vote for or against a specific</w:t>
            </w:r>
            <w:r>
              <w:rPr>
                <w:spacing w:val="-7"/>
              </w:rPr>
              <w:t xml:space="preserve"> </w:t>
            </w:r>
            <w:r>
              <w:t>candidate;</w:t>
            </w:r>
          </w:p>
          <w:p w:rsidR="007F6673" w:rsidRDefault="001B345D">
            <w:pPr>
              <w:pStyle w:val="TableParagraph"/>
              <w:numPr>
                <w:ilvl w:val="1"/>
                <w:numId w:val="15"/>
              </w:numPr>
              <w:tabs>
                <w:tab w:val="left" w:pos="594"/>
              </w:tabs>
              <w:spacing w:before="121"/>
              <w:ind w:right="177" w:hanging="269"/>
            </w:pPr>
            <w:r>
              <w:t>Is made w/in 30 days before a primary or special primary or 60 days before any other election for the office sought by the candidate; and</w:t>
            </w:r>
          </w:p>
          <w:p w:rsidR="007F6673" w:rsidRDefault="001B345D">
            <w:pPr>
              <w:pStyle w:val="TableParagraph"/>
              <w:numPr>
                <w:ilvl w:val="1"/>
                <w:numId w:val="15"/>
              </w:numPr>
              <w:tabs>
                <w:tab w:val="left" w:pos="594"/>
              </w:tabs>
              <w:spacing w:before="120"/>
              <w:ind w:right="89" w:hanging="269"/>
              <w:rPr>
                <w:i/>
              </w:rPr>
            </w:pPr>
            <w:r>
              <w:t>Is targeted to the rel</w:t>
            </w:r>
            <w:r>
              <w:t xml:space="preserve">evant electorate in the geographic area the candidate would represent if elected.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(8)(a),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F.S.)</w:t>
            </w:r>
          </w:p>
        </w:tc>
      </w:tr>
      <w:tr w:rsidR="007F6673">
        <w:trPr>
          <w:trHeight w:val="898"/>
        </w:trPr>
        <w:tc>
          <w:tcPr>
            <w:tcW w:w="286" w:type="dxa"/>
            <w:tcBorders>
              <w:top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1B345D">
            <w:pPr>
              <w:pStyle w:val="TableParagraph"/>
              <w:spacing w:before="100"/>
              <w:ind w:left="78"/>
              <w:rPr>
                <w:sz w:val="16"/>
              </w:rPr>
            </w:pPr>
            <w:r>
              <w:rPr>
                <w:sz w:val="16"/>
              </w:rPr>
              <w:t>Florida Department of State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1B345D">
            <w:pPr>
              <w:pStyle w:val="TableParagraph"/>
              <w:spacing w:before="100"/>
              <w:ind w:left="1000"/>
              <w:rPr>
                <w:sz w:val="16"/>
              </w:rPr>
            </w:pPr>
            <w:r>
              <w:rPr>
                <w:sz w:val="16"/>
              </w:rPr>
              <w:t>DE Reference Guide 0017 – PCs and ECOs (06/2019)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1B345D">
            <w:pPr>
              <w:pStyle w:val="TableParagraph"/>
              <w:spacing w:before="100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Page 1 of 4</w:t>
            </w:r>
          </w:p>
        </w:tc>
      </w:tr>
    </w:tbl>
    <w:p w:rsidR="007F6673" w:rsidRDefault="001B345D">
      <w:pPr>
        <w:rPr>
          <w:sz w:val="2"/>
          <w:szCs w:val="2"/>
        </w:rPr>
      </w:pPr>
      <w:r>
        <w:pict>
          <v:line id="_x0000_s1029" style="position:absolute;z-index:-13360;mso-position-horizontal-relative:page;mso-position-vertical-relative:page" from="28.5pt,733.75pt" to="581.5pt,733.75pt">
            <w10:wrap anchorx="page" anchory="page"/>
          </v:line>
        </w:pict>
      </w:r>
    </w:p>
    <w:p w:rsidR="007F6673" w:rsidRDefault="007F6673">
      <w:pPr>
        <w:rPr>
          <w:sz w:val="2"/>
          <w:szCs w:val="2"/>
        </w:rPr>
        <w:sectPr w:rsidR="007F6673">
          <w:type w:val="continuous"/>
          <w:pgSz w:w="12240" w:h="15840"/>
          <w:pgMar w:top="500" w:right="380" w:bottom="280" w:left="38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925"/>
        <w:gridCol w:w="4457"/>
        <w:gridCol w:w="4560"/>
      </w:tblGrid>
      <w:tr w:rsidR="007F6673">
        <w:trPr>
          <w:trHeight w:val="805"/>
        </w:trPr>
        <w:tc>
          <w:tcPr>
            <w:tcW w:w="290" w:type="dxa"/>
            <w:vMerge w:val="restart"/>
            <w:tcBorders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1116"/>
              <w:rPr>
                <w:b/>
              </w:rPr>
            </w:pPr>
            <w:r>
              <w:rPr>
                <w:b/>
                <w:color w:val="0000FF"/>
              </w:rPr>
              <w:t>Political Committee (PC)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2017" w:right="237" w:hanging="1762"/>
              <w:rPr>
                <w:b/>
              </w:rPr>
            </w:pPr>
            <w:r>
              <w:rPr>
                <w:b/>
                <w:color w:val="0000FF"/>
              </w:rPr>
              <w:t>Electioneering Communication Organization (ECO)</w:t>
            </w:r>
          </w:p>
        </w:tc>
      </w:tr>
      <w:tr w:rsidR="007F6673">
        <w:trPr>
          <w:trHeight w:val="4022"/>
        </w:trPr>
        <w:tc>
          <w:tcPr>
            <w:tcW w:w="290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0"/>
              <w:rPr>
                <w:b/>
              </w:rPr>
            </w:pPr>
            <w:r>
              <w:rPr>
                <w:b/>
                <w:color w:val="0000FF"/>
              </w:rPr>
              <w:t>Initial Filings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12"/>
              <w:ind w:right="149"/>
              <w:rPr>
                <w:i/>
              </w:rPr>
            </w:pPr>
            <w:r>
              <w:t xml:space="preserve">Statement of Organization must be filed within 10 days after its organization when PC receives contributions or makes expenditures in excess of $500 in a calendar year </w:t>
            </w:r>
            <w:r>
              <w:rPr>
                <w:u w:val="single"/>
              </w:rPr>
              <w:t>or</w:t>
            </w:r>
            <w:r>
              <w:t xml:space="preserve"> seeks signatures of voters in support of an initiative. Also, must file immediately when organized within 10 days of any election.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106.03</w:t>
            </w:r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20"/>
              <w:ind w:right="445"/>
              <w:rPr>
                <w:i/>
              </w:rPr>
            </w:pPr>
            <w:r>
              <w:t xml:space="preserve">Appointment of Campaign Treasurer and Designation of Campaign Depository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  <w:u w:val="single" w:color="0562C1"/>
              </w:rPr>
              <w:t xml:space="preserve"> 106.021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before="121"/>
            </w:pPr>
            <w:r>
              <w:t>Registered Agent Statement of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</w:p>
          <w:p w:rsidR="007F6673" w:rsidRDefault="001B345D">
            <w:pPr>
              <w:pStyle w:val="TableParagraph"/>
              <w:spacing w:before="1"/>
              <w:ind w:left="338"/>
              <w:rPr>
                <w:i/>
              </w:rPr>
            </w:pP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106.022</w:t>
            </w:r>
            <w:r>
              <w:rPr>
                <w:i/>
              </w:rPr>
              <w:t>, F.S.)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12"/>
              <w:ind w:right="134"/>
              <w:rPr>
                <w:i/>
              </w:rPr>
            </w:pPr>
            <w:r>
              <w:t xml:space="preserve">Statement of Organization must be filed within 24 hours when ECO makes expenditures in excess of $5,000 in a calendar year if made </w:t>
            </w:r>
            <w:r>
              <w:rPr>
                <w:u w:val="single"/>
              </w:rPr>
              <w:t>within</w:t>
            </w:r>
            <w:r>
              <w:t xml:space="preserve"> 30 days before a primary or 60 days before any other elect</w:t>
            </w:r>
            <w:r>
              <w:t xml:space="preserve">ion for the office sought by the candidate. If made </w:t>
            </w:r>
            <w:r>
              <w:rPr>
                <w:u w:val="single"/>
              </w:rPr>
              <w:t>before</w:t>
            </w:r>
            <w:r>
              <w:t xml:space="preserve"> the 30/60 day timeframe, the statement of organization must then be filed within 24 hours after the 30</w:t>
            </w:r>
            <w:r>
              <w:rPr>
                <w:vertAlign w:val="superscript"/>
              </w:rPr>
              <w:t>th</w:t>
            </w:r>
            <w:r>
              <w:t xml:space="preserve"> day before the primary or within 24 hours after the 60</w:t>
            </w:r>
            <w:r>
              <w:rPr>
                <w:vertAlign w:val="superscript"/>
              </w:rPr>
              <w:t>th</w:t>
            </w:r>
            <w:r>
              <w:t xml:space="preserve"> day before any other election, whic</w:t>
            </w:r>
            <w:r>
              <w:t xml:space="preserve">hever is applicable.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106.03</w:t>
            </w:r>
            <w:r>
              <w:rPr>
                <w:i/>
              </w:rPr>
              <w:t>(1)(b)1.,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21" w:line="279" w:lineRule="exact"/>
            </w:pPr>
            <w:r>
              <w:t>Registered Agent Statement of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</w:p>
          <w:p w:rsidR="007F6673" w:rsidRDefault="001B345D">
            <w:pPr>
              <w:pStyle w:val="TableParagraph"/>
              <w:spacing w:line="256" w:lineRule="exact"/>
              <w:ind w:left="327"/>
              <w:rPr>
                <w:i/>
              </w:rPr>
            </w:pP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106.022</w:t>
            </w:r>
            <w:r>
              <w:rPr>
                <w:i/>
              </w:rPr>
              <w:t>, F.S.)</w:t>
            </w:r>
          </w:p>
        </w:tc>
      </w:tr>
      <w:tr w:rsidR="007F6673">
        <w:trPr>
          <w:trHeight w:val="945"/>
        </w:trPr>
        <w:tc>
          <w:tcPr>
            <w:tcW w:w="290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4"/>
              <w:ind w:left="110" w:right="256"/>
              <w:rPr>
                <w:b/>
              </w:rPr>
            </w:pPr>
            <w:r>
              <w:rPr>
                <w:b/>
                <w:color w:val="0000FF"/>
              </w:rPr>
              <w:t xml:space="preserve">Limits on Contributions </w:t>
            </w:r>
            <w:r>
              <w:rPr>
                <w:b/>
                <w:color w:val="0000FF"/>
                <w:u w:val="single" w:color="0000FF"/>
              </w:rPr>
              <w:t>To</w:t>
            </w:r>
            <w:r>
              <w:rPr>
                <w:b/>
                <w:color w:val="0000FF"/>
              </w:rPr>
              <w:t xml:space="preserve"> the Entity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F6673" w:rsidRDefault="001B345D">
            <w:pPr>
              <w:pStyle w:val="TableParagraph"/>
              <w:ind w:left="113"/>
            </w:pPr>
            <w:r>
              <w:t>No monetary limit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F6673" w:rsidRDefault="001B345D">
            <w:pPr>
              <w:pStyle w:val="TableParagraph"/>
              <w:ind w:left="116"/>
            </w:pPr>
            <w:r>
              <w:t>No monetary limit</w:t>
            </w:r>
          </w:p>
        </w:tc>
      </w:tr>
      <w:tr w:rsidR="007F6673">
        <w:trPr>
          <w:trHeight w:val="2796"/>
        </w:trPr>
        <w:tc>
          <w:tcPr>
            <w:tcW w:w="290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0" w:right="255"/>
              <w:rPr>
                <w:b/>
              </w:rPr>
            </w:pPr>
            <w:r>
              <w:rPr>
                <w:b/>
                <w:color w:val="0000FF"/>
              </w:rPr>
              <w:t xml:space="preserve">Limits on Contributions </w:t>
            </w:r>
            <w:r>
              <w:rPr>
                <w:b/>
                <w:color w:val="0000FF"/>
                <w:u w:val="single" w:color="0000FF"/>
              </w:rPr>
              <w:t>By</w:t>
            </w:r>
            <w:r>
              <w:rPr>
                <w:b/>
                <w:color w:val="0000FF"/>
              </w:rPr>
              <w:t xml:space="preserve"> the Entity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12"/>
              <w:ind w:right="540" w:hanging="187"/>
            </w:pPr>
            <w:r>
              <w:t>PC to a candidate - $1000 per election, except limit to candidates for statewide office or Supreme Court Justice =</w:t>
            </w:r>
            <w:r>
              <w:rPr>
                <w:spacing w:val="-18"/>
              </w:rPr>
              <w:t xml:space="preserve"> </w:t>
            </w:r>
            <w:r>
              <w:t>$3000</w:t>
            </w:r>
          </w:p>
          <w:p w:rsidR="007F6673" w:rsidRDefault="001B34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21"/>
              <w:ind w:left="338" w:hanging="182"/>
            </w:pPr>
            <w:r>
              <w:t>PC to a political party – no</w:t>
            </w:r>
            <w:r>
              <w:rPr>
                <w:spacing w:val="-2"/>
              </w:rPr>
              <w:t xml:space="preserve"> </w:t>
            </w:r>
            <w:r>
              <w:t>limit</w:t>
            </w:r>
          </w:p>
          <w:p w:rsidR="007F6673" w:rsidRDefault="001B34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18"/>
              <w:ind w:left="338" w:hanging="182"/>
            </w:pPr>
            <w:r>
              <w:t>PC to ECO – no</w:t>
            </w:r>
            <w:r>
              <w:rPr>
                <w:spacing w:val="-2"/>
              </w:rPr>
              <w:t xml:space="preserve"> </w:t>
            </w:r>
            <w:r>
              <w:t>limit</w:t>
            </w:r>
          </w:p>
          <w:p w:rsidR="007F6673" w:rsidRDefault="001B34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21"/>
              <w:ind w:left="338" w:hanging="182"/>
            </w:pPr>
            <w:r>
              <w:t>PC to PC – no</w:t>
            </w:r>
            <w:r>
              <w:rPr>
                <w:spacing w:val="-5"/>
              </w:rPr>
              <w:t xml:space="preserve"> </w:t>
            </w:r>
            <w:r>
              <w:t>limit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12"/>
              <w:ind w:right="1015"/>
              <w:rPr>
                <w:i/>
              </w:rPr>
            </w:pPr>
            <w:r>
              <w:t xml:space="preserve">Limited to making electioneering communications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</w:t>
            </w:r>
            <w:r>
              <w:rPr>
                <w:i/>
              </w:rPr>
              <w:t>9),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21"/>
            </w:pPr>
            <w:r>
              <w:t>May not make contributions to</w:t>
            </w:r>
            <w:r>
              <w:rPr>
                <w:spacing w:val="-6"/>
              </w:rPr>
              <w:t xml:space="preserve"> </w:t>
            </w:r>
            <w:r>
              <w:t>candidates</w:t>
            </w:r>
          </w:p>
          <w:p w:rsidR="007F6673" w:rsidRDefault="001B345D">
            <w:pPr>
              <w:pStyle w:val="TableParagraph"/>
              <w:ind w:left="313"/>
              <w:rPr>
                <w:i/>
              </w:rPr>
            </w:pP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(9), F.S.)</w:t>
            </w:r>
          </w:p>
          <w:p w:rsidR="007F6673" w:rsidRDefault="001B345D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18"/>
              <w:ind w:right="276"/>
              <w:rPr>
                <w:i/>
              </w:rPr>
            </w:pPr>
            <w:r>
              <w:t xml:space="preserve">May not make contributions to a political party or a political committee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(9), F.S.)</w:t>
            </w:r>
          </w:p>
          <w:p w:rsidR="007F6673" w:rsidRDefault="001B345D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22"/>
            </w:pPr>
            <w:r>
              <w:t>May make contributions to another</w:t>
            </w:r>
            <w:r>
              <w:rPr>
                <w:spacing w:val="-9"/>
              </w:rPr>
              <w:t xml:space="preserve"> </w:t>
            </w:r>
            <w:r>
              <w:t>ECO</w:t>
            </w:r>
          </w:p>
        </w:tc>
      </w:tr>
      <w:tr w:rsidR="007F6673">
        <w:trPr>
          <w:trHeight w:val="1223"/>
        </w:trPr>
        <w:tc>
          <w:tcPr>
            <w:tcW w:w="290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0" w:right="195"/>
              <w:rPr>
                <w:b/>
              </w:rPr>
            </w:pPr>
            <w:r>
              <w:rPr>
                <w:b/>
                <w:color w:val="0000FF"/>
              </w:rPr>
              <w:t>Disposition of Residual Funds in the Event of Dissolution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3" w:right="145"/>
              <w:rPr>
                <w:i/>
              </w:rPr>
            </w:pPr>
            <w:r>
              <w:t xml:space="preserve">In accordance with the plans stated in the PC’s Statement of Organization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106.03</w:t>
            </w:r>
            <w:r>
              <w:rPr>
                <w:i/>
              </w:rPr>
              <w:t>(2)(j), F.S.)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6" w:right="106"/>
              <w:rPr>
                <w:i/>
              </w:rPr>
            </w:pPr>
            <w:r>
              <w:t xml:space="preserve">In accordance with the plans stated in the ECO’s Statement of Organization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106.03</w:t>
            </w:r>
            <w:r>
              <w:rPr>
                <w:i/>
              </w:rPr>
              <w:t>(2)(j), F.S.)</w:t>
            </w:r>
          </w:p>
        </w:tc>
      </w:tr>
      <w:tr w:rsidR="007F6673">
        <w:trPr>
          <w:trHeight w:val="3698"/>
        </w:trPr>
        <w:tc>
          <w:tcPr>
            <w:tcW w:w="290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0"/>
              <w:rPr>
                <w:b/>
              </w:rPr>
            </w:pPr>
            <w:r>
              <w:rPr>
                <w:b/>
                <w:color w:val="0000FF"/>
              </w:rPr>
              <w:t>Restrictions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12"/>
              <w:ind w:right="286"/>
            </w:pPr>
            <w:r>
              <w:t xml:space="preserve">Funds may be used </w:t>
            </w:r>
            <w:r>
              <w:rPr>
                <w:b/>
              </w:rPr>
              <w:t xml:space="preserve">only </w:t>
            </w:r>
            <w:r>
              <w:t xml:space="preserve">for PC activity and </w:t>
            </w:r>
            <w:r>
              <w:rPr>
                <w:b/>
              </w:rPr>
              <w:t xml:space="preserve">only </w:t>
            </w:r>
            <w:r>
              <w:t>for the purpose of influencing the results of an</w:t>
            </w:r>
            <w:r>
              <w:rPr>
                <w:spacing w:val="-5"/>
              </w:rPr>
              <w:t xml:space="preserve"> </w:t>
            </w:r>
            <w:r>
              <w:t>election.</w:t>
            </w:r>
          </w:p>
          <w:p w:rsidR="007F6673" w:rsidRDefault="001B345D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19"/>
              <w:ind w:right="173"/>
            </w:pPr>
            <w:r>
              <w:t>Credit cards: PC created to support/oppose a statewide candidate or to support/oppose any statewide issue, may use credit cards in making travel-related campaign expenditures subject to the conditions in §</w:t>
            </w:r>
            <w:r>
              <w:rPr>
                <w:color w:val="0562C1"/>
                <w:u w:val="single" w:color="0562C1"/>
              </w:rPr>
              <w:t xml:space="preserve"> 106.125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F.S.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112"/>
              <w:ind w:right="267"/>
            </w:pPr>
            <w:r>
              <w:t>Funds for its election-related activ</w:t>
            </w:r>
            <w:r>
              <w:t xml:space="preserve">ities may only be used to make electioneering communications.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 xml:space="preserve">(9), F.S.) </w:t>
            </w:r>
            <w:r>
              <w:t>(Thus, ECO may not make expenditures for an ad which is distributed outside the 30/60-day timeframe since the ad would not be an electioneering</w:t>
            </w:r>
            <w:r>
              <w:rPr>
                <w:spacing w:val="-2"/>
              </w:rPr>
              <w:t xml:space="preserve"> </w:t>
            </w:r>
            <w:r>
              <w:t>communication)</w:t>
            </w:r>
          </w:p>
          <w:p w:rsidR="007F6673" w:rsidRDefault="001B345D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120"/>
            </w:pPr>
            <w:r>
              <w:t xml:space="preserve">May </w:t>
            </w:r>
            <w:r>
              <w:rPr>
                <w:b/>
              </w:rPr>
              <w:t xml:space="preserve">not </w:t>
            </w:r>
            <w:r>
              <w:t>make i</w:t>
            </w:r>
            <w:r>
              <w:t>ndependent</w:t>
            </w:r>
            <w:r>
              <w:rPr>
                <w:spacing w:val="-4"/>
              </w:rPr>
              <w:t xml:space="preserve"> </w:t>
            </w:r>
            <w:r>
              <w:t>expenditures</w:t>
            </w:r>
          </w:p>
          <w:p w:rsidR="007F6673" w:rsidRDefault="001B345D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118"/>
            </w:pPr>
            <w:r>
              <w:t xml:space="preserve">May </w:t>
            </w:r>
            <w:r>
              <w:rPr>
                <w:b/>
              </w:rPr>
              <w:t xml:space="preserve">not </w:t>
            </w:r>
            <w:r>
              <w:t>expressly</w:t>
            </w:r>
            <w:r>
              <w:rPr>
                <w:spacing w:val="-4"/>
              </w:rPr>
              <w:t xml:space="preserve"> </w:t>
            </w:r>
            <w:r>
              <w:t>advocate</w:t>
            </w:r>
          </w:p>
          <w:p w:rsidR="007F6673" w:rsidRDefault="001B345D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121"/>
              <w:rPr>
                <w:i/>
              </w:rPr>
            </w:pPr>
            <w:r>
              <w:t xml:space="preserve">May </w:t>
            </w:r>
            <w:r>
              <w:rPr>
                <w:b/>
              </w:rPr>
              <w:t xml:space="preserve">not </w:t>
            </w:r>
            <w:r>
              <w:t xml:space="preserve">use credit cards.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106.0703</w:t>
            </w:r>
            <w:r>
              <w:rPr>
                <w:i/>
              </w:rPr>
              <w:t>(8),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F.S.)</w:t>
            </w:r>
          </w:p>
        </w:tc>
      </w:tr>
      <w:tr w:rsidR="007F6673">
        <w:trPr>
          <w:trHeight w:val="1203"/>
        </w:trPr>
        <w:tc>
          <w:tcPr>
            <w:tcW w:w="290" w:type="dxa"/>
            <w:tcBorders>
              <w:top w:val="nil"/>
              <w:left w:val="double" w:sz="1" w:space="0" w:color="000000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F6673" w:rsidRDefault="001B345D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Florida Department of State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F6673" w:rsidRDefault="001B345D">
            <w:pPr>
              <w:pStyle w:val="TableParagraph"/>
              <w:spacing w:before="1"/>
              <w:ind w:left="1001"/>
              <w:rPr>
                <w:sz w:val="16"/>
              </w:rPr>
            </w:pPr>
            <w:r>
              <w:rPr>
                <w:sz w:val="16"/>
              </w:rPr>
              <w:t>DE Reference Guide 0017 – PCs and ECOs (06/2019)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right w:val="double" w:sz="1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F6673" w:rsidRDefault="001B345D">
            <w:pPr>
              <w:pStyle w:val="TableParagraph"/>
              <w:spacing w:before="1"/>
              <w:ind w:right="369"/>
              <w:jc w:val="right"/>
              <w:rPr>
                <w:sz w:val="16"/>
              </w:rPr>
            </w:pPr>
            <w:r>
              <w:rPr>
                <w:sz w:val="16"/>
              </w:rPr>
              <w:t>Page 2 of 4</w:t>
            </w:r>
          </w:p>
        </w:tc>
      </w:tr>
    </w:tbl>
    <w:p w:rsidR="007F6673" w:rsidRDefault="001B345D">
      <w:pPr>
        <w:rPr>
          <w:sz w:val="2"/>
          <w:szCs w:val="2"/>
        </w:rPr>
      </w:pPr>
      <w:r>
        <w:pict>
          <v:line id="_x0000_s1028" style="position:absolute;z-index:-13336;mso-position-horizontal-relative:page;mso-position-vertical-relative:page" from="28.5pt,733.75pt" to="581.5pt,733.75pt">
            <w10:wrap anchorx="page" anchory="page"/>
          </v:line>
        </w:pict>
      </w:r>
    </w:p>
    <w:p w:rsidR="007F6673" w:rsidRDefault="007F6673">
      <w:pPr>
        <w:rPr>
          <w:sz w:val="2"/>
          <w:szCs w:val="2"/>
        </w:rPr>
        <w:sectPr w:rsidR="007F6673">
          <w:pgSz w:w="12240" w:h="15840"/>
          <w:pgMar w:top="540" w:right="380" w:bottom="280" w:left="38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926"/>
        <w:gridCol w:w="4457"/>
        <w:gridCol w:w="4560"/>
      </w:tblGrid>
      <w:tr w:rsidR="007F6673">
        <w:trPr>
          <w:trHeight w:val="805"/>
        </w:trPr>
        <w:tc>
          <w:tcPr>
            <w:tcW w:w="289" w:type="dxa"/>
            <w:vMerge w:val="restart"/>
            <w:tcBorders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1116"/>
              <w:rPr>
                <w:b/>
              </w:rPr>
            </w:pPr>
            <w:r>
              <w:rPr>
                <w:b/>
                <w:color w:val="0000FF"/>
              </w:rPr>
              <w:t>Political Committee (PC)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2017" w:right="237" w:hanging="1762"/>
              <w:rPr>
                <w:b/>
              </w:rPr>
            </w:pPr>
            <w:r>
              <w:rPr>
                <w:b/>
                <w:color w:val="0000FF"/>
              </w:rPr>
              <w:t>Electioneering Communication Organization (ECO)</w:t>
            </w:r>
          </w:p>
        </w:tc>
      </w:tr>
      <w:tr w:rsidR="007F6673">
        <w:trPr>
          <w:trHeight w:val="4591"/>
        </w:trPr>
        <w:tc>
          <w:tcPr>
            <w:tcW w:w="289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  <w:color w:val="0000FF"/>
              </w:rPr>
              <w:t>Where to File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12"/>
              <w:ind w:right="131" w:hanging="211"/>
            </w:pPr>
            <w:r>
              <w:t>Division of Elections – if supports or opposes statewide, legislative, or multicounty candidates or</w:t>
            </w:r>
            <w:r>
              <w:rPr>
                <w:spacing w:val="-3"/>
              </w:rPr>
              <w:t xml:space="preserve"> </w:t>
            </w:r>
            <w:r>
              <w:t>issues.</w:t>
            </w:r>
          </w:p>
          <w:p w:rsidR="007F6673" w:rsidRDefault="001B34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19"/>
              <w:ind w:right="233" w:hanging="211"/>
            </w:pPr>
            <w:r>
              <w:t xml:space="preserve">Supervisor of Elections – if supports or opposes candidates or issues in a countywide or less than a countywide election, except if supports or opposes </w:t>
            </w:r>
            <w:r>
              <w:rPr>
                <w:i/>
              </w:rPr>
              <w:t xml:space="preserve">only </w:t>
            </w:r>
            <w:r>
              <w:t>municipal candidates or</w:t>
            </w:r>
            <w:r>
              <w:rPr>
                <w:spacing w:val="-7"/>
              </w:rPr>
              <w:t xml:space="preserve"> </w:t>
            </w:r>
            <w:r>
              <w:t>issues.</w:t>
            </w:r>
          </w:p>
          <w:p w:rsidR="007F6673" w:rsidRDefault="001B34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45"/>
              <w:ind w:hanging="211"/>
              <w:rPr>
                <w:i/>
              </w:rPr>
            </w:pPr>
            <w:r>
              <w:t>Municipal Clerk – if supports or opposes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only</w:t>
            </w:r>
          </w:p>
          <w:p w:rsidR="007F6673" w:rsidRDefault="001B345D">
            <w:pPr>
              <w:pStyle w:val="TableParagraph"/>
              <w:spacing w:before="1"/>
              <w:ind w:left="324"/>
            </w:pPr>
            <w:r>
              <w:t>municipal candidates or issues.</w:t>
            </w:r>
          </w:p>
          <w:p w:rsidR="007F6673" w:rsidRDefault="001B345D">
            <w:pPr>
              <w:pStyle w:val="TableParagraph"/>
              <w:spacing w:before="144"/>
              <w:ind w:left="113" w:right="467"/>
            </w:pPr>
            <w:r>
              <w:t>Any political committee which would be required under this subsection to file a statement of organization in two or more locations need file only with the Division of</w:t>
            </w:r>
          </w:p>
          <w:p w:rsidR="007F6673" w:rsidRDefault="001B345D">
            <w:pPr>
              <w:pStyle w:val="TableParagraph"/>
              <w:spacing w:line="256" w:lineRule="exact"/>
              <w:ind w:left="113"/>
              <w:rPr>
                <w:i/>
              </w:rPr>
            </w:pPr>
            <w:r>
              <w:t xml:space="preserve">Elections.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106.03</w:t>
            </w:r>
            <w:r>
              <w:rPr>
                <w:i/>
              </w:rPr>
              <w:t>(3)(d), F.S.)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12"/>
              <w:ind w:right="223"/>
            </w:pPr>
            <w:r>
              <w:t>Division of Elections – if relates to statewide, legislative, or multicounty</w:t>
            </w:r>
            <w:r>
              <w:rPr>
                <w:spacing w:val="-6"/>
              </w:rPr>
              <w:t xml:space="preserve"> </w:t>
            </w:r>
            <w:r>
              <w:t>candidates.</w:t>
            </w:r>
          </w:p>
          <w:p w:rsidR="007F6673" w:rsidRDefault="001B345D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21"/>
              <w:ind w:right="219"/>
            </w:pPr>
            <w:r>
              <w:t xml:space="preserve">Supervisor of Elections – if relates to candidates in a countywide or less than a countywide election, except if relates </w:t>
            </w:r>
            <w:r>
              <w:rPr>
                <w:i/>
              </w:rPr>
              <w:t xml:space="preserve">only </w:t>
            </w:r>
            <w:r>
              <w:t>to municipal</w:t>
            </w:r>
            <w:r>
              <w:rPr>
                <w:spacing w:val="-1"/>
              </w:rPr>
              <w:t xml:space="preserve"> </w:t>
            </w:r>
            <w:r>
              <w:t>candidates.</w:t>
            </w:r>
          </w:p>
          <w:p w:rsidR="007F6673" w:rsidRDefault="001B345D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43"/>
              <w:ind w:right="262"/>
            </w:pPr>
            <w:r>
              <w:t xml:space="preserve">Municipal Clerk </w:t>
            </w:r>
            <w:r>
              <w:t xml:space="preserve">– if relates to </w:t>
            </w:r>
            <w:r>
              <w:rPr>
                <w:i/>
              </w:rPr>
              <w:t xml:space="preserve">only </w:t>
            </w:r>
            <w:r>
              <w:t>municipal candidates.</w:t>
            </w: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1B345D">
            <w:pPr>
              <w:pStyle w:val="TableParagraph"/>
              <w:spacing w:before="136"/>
              <w:ind w:left="116" w:right="237"/>
              <w:rPr>
                <w:i/>
              </w:rPr>
            </w:pPr>
            <w:r>
              <w:t xml:space="preserve">Any electioneering communications organization that would be required to file a statement of organization in two or more locations need only file a statement of organization with the Division of Elections.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</w:t>
            </w:r>
            <w:r>
              <w:rPr>
                <w:i/>
                <w:color w:val="0562C1"/>
                <w:u w:val="single" w:color="0562C1"/>
              </w:rPr>
              <w:t>.03</w:t>
            </w:r>
            <w:r>
              <w:rPr>
                <w:i/>
              </w:rPr>
              <w:t>(1)(b)2.d., F.S.)</w:t>
            </w:r>
          </w:p>
        </w:tc>
      </w:tr>
      <w:tr w:rsidR="007F6673">
        <w:trPr>
          <w:trHeight w:val="8366"/>
        </w:trPr>
        <w:tc>
          <w:tcPr>
            <w:tcW w:w="289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1" w:right="624"/>
              <w:rPr>
                <w:b/>
              </w:rPr>
            </w:pPr>
            <w:r>
              <w:rPr>
                <w:b/>
                <w:color w:val="0000FF"/>
              </w:rPr>
              <w:t>When to File Reports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3" w:right="135"/>
            </w:pPr>
            <w:r>
              <w:t>Monthly; except for additional reports due beginning 60 days before the primary election; thereafter, reports are due as follows for political committees who:</w:t>
            </w:r>
          </w:p>
          <w:p w:rsidR="007F6673" w:rsidRDefault="001B345D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1"/>
              <w:ind w:hanging="270"/>
              <w:rPr>
                <w:b/>
              </w:rPr>
            </w:pPr>
            <w:r>
              <w:rPr>
                <w:b/>
              </w:rPr>
              <w:t>File with Division of Elections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—</w:t>
            </w:r>
          </w:p>
          <w:p w:rsidR="007F6673" w:rsidRDefault="001B345D">
            <w:pPr>
              <w:pStyle w:val="TableParagraph"/>
              <w:numPr>
                <w:ilvl w:val="1"/>
                <w:numId w:val="6"/>
              </w:numPr>
              <w:tabs>
                <w:tab w:val="left" w:pos="833"/>
                <w:tab w:val="left" w:pos="834"/>
              </w:tabs>
              <w:spacing w:before="120"/>
              <w:ind w:right="124"/>
            </w:pPr>
            <w:r>
              <w:t>WEEKLY full reports of contributions and expenditures on the 4</w:t>
            </w:r>
            <w:r>
              <w:rPr>
                <w:vertAlign w:val="superscript"/>
              </w:rPr>
              <w:t>th</w:t>
            </w:r>
            <w:r>
              <w:t xml:space="preserve"> day </w:t>
            </w:r>
            <w:r>
              <w:rPr>
                <w:spacing w:val="-3"/>
              </w:rPr>
              <w:t xml:space="preserve">before </w:t>
            </w:r>
            <w:r>
              <w:t>the general election;</w:t>
            </w:r>
            <w:r>
              <w:rPr>
                <w:spacing w:val="-4"/>
              </w:rPr>
              <w:t xml:space="preserve"> </w:t>
            </w:r>
            <w:r>
              <w:t>and,</w:t>
            </w:r>
          </w:p>
          <w:p w:rsidR="007F6673" w:rsidRDefault="001B345D">
            <w:pPr>
              <w:pStyle w:val="TableParagraph"/>
              <w:numPr>
                <w:ilvl w:val="1"/>
                <w:numId w:val="6"/>
              </w:numPr>
              <w:tabs>
                <w:tab w:val="left" w:pos="833"/>
                <w:tab w:val="left" w:pos="834"/>
              </w:tabs>
              <w:ind w:right="214"/>
            </w:pPr>
            <w:r>
              <w:t xml:space="preserve">DAILY contribution-only reports beginning on the 10th day before the general election and ending on the </w:t>
            </w:r>
            <w:r>
              <w:rPr>
                <w:spacing w:val="-6"/>
              </w:rPr>
              <w:t>5</w:t>
            </w:r>
            <w:r>
              <w:rPr>
                <w:spacing w:val="-6"/>
                <w:vertAlign w:val="superscript"/>
              </w:rPr>
              <w:t>th</w:t>
            </w:r>
            <w:r>
              <w:rPr>
                <w:spacing w:val="-6"/>
              </w:rPr>
              <w:t xml:space="preserve"> </w:t>
            </w:r>
            <w:r>
              <w:t>day before the general</w:t>
            </w:r>
            <w:r>
              <w:rPr>
                <w:spacing w:val="-2"/>
              </w:rPr>
              <w:t xml:space="preserve"> </w:t>
            </w:r>
            <w:r>
              <w:t>election.</w:t>
            </w:r>
          </w:p>
          <w:p w:rsidR="007F6673" w:rsidRDefault="001B345D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113" w:right="649" w:firstLine="0"/>
              <w:rPr>
                <w:b/>
              </w:rPr>
            </w:pPr>
            <w:r>
              <w:rPr>
                <w:b/>
              </w:rPr>
              <w:t>File with a filing officer other than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the Division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Elections—</w:t>
            </w:r>
          </w:p>
          <w:p w:rsidR="007F6673" w:rsidRDefault="001B345D">
            <w:pPr>
              <w:pStyle w:val="TableParagraph"/>
              <w:spacing w:before="121"/>
              <w:ind w:left="833" w:right="122"/>
              <w:rPr>
                <w:i/>
              </w:rPr>
            </w:pPr>
            <w:r>
              <w:t>BI-WEEKLY full reports of contributions and expenditures on the 4</w:t>
            </w:r>
            <w:r>
              <w:rPr>
                <w:vertAlign w:val="superscript"/>
              </w:rPr>
              <w:t>th</w:t>
            </w:r>
            <w:r>
              <w:t xml:space="preserve"> day before the general election, with an additional report due on the 25th and 11th days before the primary and general ele</w:t>
            </w:r>
            <w:r>
              <w:t xml:space="preserve">ction. </w:t>
            </w:r>
            <w:r>
              <w:rPr>
                <w:i/>
              </w:rPr>
              <w:t xml:space="preserve">(§ </w:t>
            </w:r>
            <w:r>
              <w:rPr>
                <w:i/>
                <w:color w:val="0562C1"/>
                <w:u w:val="single" w:color="0562C1"/>
              </w:rPr>
              <w:t>106.07</w:t>
            </w:r>
            <w:r>
              <w:rPr>
                <w:i/>
              </w:rPr>
              <w:t>(1),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ind w:left="113" w:right="195"/>
            </w:pPr>
            <w:r>
              <w:t xml:space="preserve">See </w:t>
            </w:r>
            <w:hyperlink r:id="rId9">
              <w:r>
                <w:rPr>
                  <w:color w:val="0562C1"/>
                  <w:u w:val="single" w:color="0562C1"/>
                </w:rPr>
                <w:t>Campaign Finance Reporting Dates</w:t>
              </w:r>
              <w:r>
                <w:rPr>
                  <w:color w:val="0562C1"/>
                </w:rPr>
                <w:t xml:space="preserve"> </w:t>
              </w:r>
            </w:hyperlink>
            <w:r>
              <w:t>on the Division’s web site. For filing date calendars for counties and municipalities, contact the</w:t>
            </w:r>
            <w:r>
              <w:t xml:space="preserve"> respective county supervisor of elections and municipal clerk, respectively.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6" w:right="229"/>
            </w:pPr>
            <w:r>
              <w:t>Monthly; except for additional reports due beginning 60 days before the primary election; thereafter, reports are due as follows for ECOs who:</w:t>
            </w:r>
          </w:p>
          <w:p w:rsidR="007F6673" w:rsidRDefault="001B345D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21"/>
              <w:ind w:hanging="270"/>
              <w:rPr>
                <w:b/>
              </w:rPr>
            </w:pPr>
            <w:r>
              <w:rPr>
                <w:b/>
              </w:rPr>
              <w:t>File with Division of Elections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—</w:t>
            </w:r>
          </w:p>
          <w:p w:rsidR="007F6673" w:rsidRDefault="001B345D">
            <w:pPr>
              <w:pStyle w:val="TableParagraph"/>
              <w:numPr>
                <w:ilvl w:val="1"/>
                <w:numId w:val="5"/>
              </w:numPr>
              <w:tabs>
                <w:tab w:val="left" w:pos="836"/>
                <w:tab w:val="left" w:pos="837"/>
              </w:tabs>
              <w:spacing w:before="120"/>
              <w:ind w:right="218"/>
            </w:pPr>
            <w:r>
              <w:t>WEEKLY full reports of contributions and expenditures on the 4</w:t>
            </w:r>
            <w:r>
              <w:rPr>
                <w:vertAlign w:val="superscript"/>
              </w:rPr>
              <w:t>th</w:t>
            </w:r>
            <w:r>
              <w:t xml:space="preserve"> day </w:t>
            </w:r>
            <w:r>
              <w:rPr>
                <w:spacing w:val="-3"/>
              </w:rPr>
              <w:t xml:space="preserve">before </w:t>
            </w:r>
            <w:r>
              <w:t>the general election;</w:t>
            </w:r>
            <w:r>
              <w:rPr>
                <w:spacing w:val="-4"/>
              </w:rPr>
              <w:t xml:space="preserve"> </w:t>
            </w:r>
            <w:r>
              <w:t>and,</w:t>
            </w:r>
          </w:p>
          <w:p w:rsidR="007F6673" w:rsidRDefault="001B345D">
            <w:pPr>
              <w:pStyle w:val="TableParagraph"/>
              <w:numPr>
                <w:ilvl w:val="1"/>
                <w:numId w:val="5"/>
              </w:numPr>
              <w:tabs>
                <w:tab w:val="left" w:pos="836"/>
                <w:tab w:val="left" w:pos="837"/>
              </w:tabs>
              <w:spacing w:before="119"/>
              <w:ind w:right="149"/>
            </w:pPr>
            <w:r>
              <w:t>DAILY contribution-only reports beginning on the 10th day before the general election and ending on the day before the general election (excluding the 4</w:t>
            </w:r>
            <w:r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 xml:space="preserve"> day before the general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election).</w:t>
            </w:r>
          </w:p>
          <w:p w:rsidR="007F6673" w:rsidRDefault="001B345D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21"/>
              <w:ind w:left="116" w:right="743" w:firstLine="0"/>
              <w:rPr>
                <w:b/>
              </w:rPr>
            </w:pPr>
            <w:r>
              <w:rPr>
                <w:b/>
              </w:rPr>
              <w:t>File with a filing officer other than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the Division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Elections—</w:t>
            </w:r>
          </w:p>
          <w:p w:rsidR="007F6673" w:rsidRDefault="001B345D">
            <w:pPr>
              <w:pStyle w:val="TableParagraph"/>
              <w:numPr>
                <w:ilvl w:val="1"/>
                <w:numId w:val="5"/>
              </w:numPr>
              <w:tabs>
                <w:tab w:val="left" w:pos="836"/>
                <w:tab w:val="left" w:pos="837"/>
                <w:tab w:val="left" w:pos="2507"/>
              </w:tabs>
              <w:spacing w:before="119"/>
              <w:ind w:right="195"/>
              <w:rPr>
                <w:i/>
              </w:rPr>
            </w:pPr>
            <w:r>
              <w:t>BI-WEEKLY full reports of contributions and expenditures on the 4</w:t>
            </w:r>
            <w:r>
              <w:rPr>
                <w:vertAlign w:val="superscript"/>
              </w:rPr>
              <w:t>th</w:t>
            </w:r>
            <w:r>
              <w:t xml:space="preserve"> day before the general election, with an additional report due on the 25th and 11th days before the primary and general election.</w:t>
            </w:r>
            <w:r>
              <w:tab/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106.0703</w:t>
            </w:r>
            <w:r>
              <w:rPr>
                <w:i/>
              </w:rPr>
              <w:t>(1),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spacing w:before="122"/>
              <w:ind w:left="116" w:right="204"/>
            </w:pPr>
            <w:r>
              <w:t xml:space="preserve">See </w:t>
            </w:r>
            <w:hyperlink r:id="rId10">
              <w:r>
                <w:rPr>
                  <w:color w:val="0562C1"/>
                  <w:u w:val="single" w:color="0562C1"/>
                </w:rPr>
                <w:t>Campa</w:t>
              </w:r>
              <w:r>
                <w:rPr>
                  <w:color w:val="0562C1"/>
                  <w:u w:val="single" w:color="0562C1"/>
                </w:rPr>
                <w:t>ign Finance Reporting Dates</w:t>
              </w:r>
              <w:r>
                <w:rPr>
                  <w:color w:val="0562C1"/>
                </w:rPr>
                <w:t xml:space="preserve"> </w:t>
              </w:r>
            </w:hyperlink>
            <w:r>
              <w:t>on the Division’s web site. For filing date calendars for counties and municipalities, contact the respective county supervisor of elections and municipal clerk, respectively</w:t>
            </w:r>
          </w:p>
        </w:tc>
      </w:tr>
      <w:tr w:rsidR="007F6673">
        <w:trPr>
          <w:trHeight w:val="961"/>
        </w:trPr>
        <w:tc>
          <w:tcPr>
            <w:tcW w:w="289" w:type="dxa"/>
            <w:tcBorders>
              <w:top w:val="nil"/>
              <w:left w:val="double" w:sz="1" w:space="0" w:color="000000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Florida Department of State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spacing w:before="1"/>
              <w:ind w:left="1001"/>
              <w:rPr>
                <w:sz w:val="16"/>
              </w:rPr>
            </w:pPr>
            <w:r>
              <w:rPr>
                <w:sz w:val="16"/>
              </w:rPr>
              <w:t>DE Reference Guide 0017 – PCs and ECOs (06/2019)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right w:val="double" w:sz="1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spacing w:before="1"/>
              <w:ind w:right="369"/>
              <w:jc w:val="right"/>
              <w:rPr>
                <w:sz w:val="16"/>
              </w:rPr>
            </w:pPr>
            <w:r>
              <w:rPr>
                <w:sz w:val="16"/>
              </w:rPr>
              <w:t>Page 3 of 4</w:t>
            </w:r>
          </w:p>
        </w:tc>
      </w:tr>
    </w:tbl>
    <w:p w:rsidR="007F6673" w:rsidRDefault="001B345D">
      <w:pPr>
        <w:rPr>
          <w:sz w:val="2"/>
          <w:szCs w:val="2"/>
        </w:rPr>
      </w:pPr>
      <w:r>
        <w:pict>
          <v:line id="_x0000_s1027" style="position:absolute;z-index:-13312;mso-position-horizontal-relative:page;mso-position-vertical-relative:page" from="28.5pt,733.75pt" to="581.5pt,733.75pt">
            <w10:wrap anchorx="page" anchory="page"/>
          </v:line>
        </w:pict>
      </w:r>
    </w:p>
    <w:p w:rsidR="007F6673" w:rsidRDefault="007F6673">
      <w:pPr>
        <w:rPr>
          <w:sz w:val="2"/>
          <w:szCs w:val="2"/>
        </w:rPr>
        <w:sectPr w:rsidR="007F6673">
          <w:pgSz w:w="12240" w:h="15840"/>
          <w:pgMar w:top="540" w:right="380" w:bottom="280" w:left="38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926"/>
        <w:gridCol w:w="4457"/>
        <w:gridCol w:w="4560"/>
      </w:tblGrid>
      <w:tr w:rsidR="007F6673">
        <w:trPr>
          <w:trHeight w:val="805"/>
        </w:trPr>
        <w:tc>
          <w:tcPr>
            <w:tcW w:w="289" w:type="dxa"/>
            <w:vMerge w:val="restart"/>
            <w:tcBorders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1116"/>
              <w:rPr>
                <w:b/>
              </w:rPr>
            </w:pPr>
            <w:r>
              <w:rPr>
                <w:b/>
                <w:color w:val="0000FF"/>
              </w:rPr>
              <w:t>Political Committee (PC)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40"/>
              <w:ind w:left="2017" w:right="237" w:hanging="1762"/>
              <w:rPr>
                <w:b/>
              </w:rPr>
            </w:pPr>
            <w:r>
              <w:rPr>
                <w:b/>
                <w:color w:val="0000FF"/>
              </w:rPr>
              <w:t>Electioneering Communication Organization (ECO)</w:t>
            </w:r>
          </w:p>
        </w:tc>
      </w:tr>
      <w:tr w:rsidR="007F6673">
        <w:trPr>
          <w:trHeight w:val="3345"/>
        </w:trPr>
        <w:tc>
          <w:tcPr>
            <w:tcW w:w="289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1" w:right="89"/>
              <w:rPr>
                <w:b/>
              </w:rPr>
            </w:pPr>
            <w:r>
              <w:rPr>
                <w:b/>
                <w:color w:val="0000FF"/>
              </w:rPr>
              <w:t>Political Disclaimers on ads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12"/>
              <w:ind w:right="1312"/>
              <w:rPr>
                <w:i/>
              </w:rPr>
            </w:pPr>
            <w:r>
              <w:t xml:space="preserve">Political advertisements – </w:t>
            </w:r>
            <w:r>
              <w:rPr>
                <w:i/>
              </w:rPr>
              <w:t>see §</w:t>
            </w:r>
            <w:r>
              <w:rPr>
                <w:i/>
                <w:color w:val="0562C1"/>
                <w:u w:val="single" w:color="0562C1"/>
              </w:rPr>
              <w:t xml:space="preserve"> 106.143</w:t>
            </w:r>
            <w:r>
              <w:rPr>
                <w:i/>
              </w:rPr>
              <w:t>(1)(c) &amp; (2),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F.S.</w:t>
            </w:r>
          </w:p>
          <w:p w:rsidR="007F6673" w:rsidRDefault="001B345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23" w:line="237" w:lineRule="auto"/>
              <w:ind w:right="1080"/>
              <w:rPr>
                <w:i/>
              </w:rPr>
            </w:pPr>
            <w:r>
              <w:t xml:space="preserve">Independent expenditures – </w:t>
            </w:r>
            <w:r>
              <w:rPr>
                <w:i/>
              </w:rPr>
              <w:t>see §</w:t>
            </w:r>
            <w:r>
              <w:rPr>
                <w:i/>
                <w:color w:val="0562C1"/>
                <w:u w:val="single" w:color="0562C1"/>
              </w:rPr>
              <w:t xml:space="preserve"> 106.071</w:t>
            </w:r>
            <w:r>
              <w:rPr>
                <w:i/>
              </w:rPr>
              <w:t>(2),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</w:t>
            </w:r>
          </w:p>
          <w:p w:rsidR="007F6673" w:rsidRDefault="001B345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22"/>
              <w:rPr>
                <w:i/>
              </w:rPr>
            </w:pPr>
            <w:r>
              <w:t>Electioneering communication –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see</w:t>
            </w:r>
          </w:p>
          <w:p w:rsidR="007F6673" w:rsidRDefault="001B345D">
            <w:pPr>
              <w:pStyle w:val="TableParagraph"/>
              <w:ind w:left="324"/>
              <w:rPr>
                <w:i/>
              </w:rPr>
            </w:pPr>
            <w:r>
              <w:rPr>
                <w:i/>
              </w:rPr>
              <w:t xml:space="preserve">§ </w:t>
            </w:r>
            <w:r>
              <w:rPr>
                <w:i/>
                <w:color w:val="0562C1"/>
                <w:u w:val="single" w:color="0562C1"/>
              </w:rPr>
              <w:t>106.1439</w:t>
            </w:r>
            <w:r>
              <w:rPr>
                <w:i/>
              </w:rPr>
              <w:t>, F.S.</w:t>
            </w:r>
          </w:p>
          <w:p w:rsidR="007F6673" w:rsidRDefault="001B345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21"/>
              <w:ind w:right="144"/>
              <w:rPr>
                <w:i/>
              </w:rPr>
            </w:pPr>
            <w:r>
              <w:t xml:space="preserve">Telephone solicitation – </w:t>
            </w:r>
            <w:r>
              <w:rPr>
                <w:i/>
              </w:rPr>
              <w:t>see §§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106.147</w:t>
            </w:r>
            <w:r>
              <w:rPr>
                <w:i/>
              </w:rPr>
              <w:t>(1) &amp;</w:t>
            </w:r>
            <w:r>
              <w:rPr>
                <w:i/>
                <w:color w:val="0562C1"/>
                <w:u w:val="single" w:color="0562C1"/>
              </w:rPr>
              <w:t xml:space="preserve"> 106.1439</w:t>
            </w:r>
            <w:r>
              <w:rPr>
                <w:i/>
              </w:rPr>
              <w:t>(2),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</w:t>
            </w:r>
          </w:p>
          <w:p w:rsidR="007F6673" w:rsidRDefault="001B345D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20" w:line="270" w:lineRule="atLeast"/>
              <w:ind w:right="825"/>
              <w:rPr>
                <w:i/>
              </w:rPr>
            </w:pPr>
            <w:r>
              <w:t xml:space="preserve">Miscellaneous advertisement – </w:t>
            </w:r>
            <w:r>
              <w:rPr>
                <w:i/>
              </w:rPr>
              <w:t>see §</w:t>
            </w:r>
            <w:r>
              <w:rPr>
                <w:i/>
                <w:color w:val="0562C1"/>
                <w:u w:val="single" w:color="0562C1"/>
              </w:rPr>
              <w:t xml:space="preserve"> 106.1437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12"/>
              <w:ind w:right="734"/>
              <w:rPr>
                <w:i/>
              </w:rPr>
            </w:pPr>
            <w:r>
              <w:t xml:space="preserve">Electioneering communication – </w:t>
            </w:r>
            <w:r>
              <w:rPr>
                <w:i/>
              </w:rPr>
              <w:t>see §</w:t>
            </w:r>
            <w:r>
              <w:rPr>
                <w:i/>
                <w:color w:val="0562C1"/>
                <w:u w:val="single" w:color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106.1439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F.S.</w:t>
            </w:r>
          </w:p>
          <w:p w:rsidR="007F6673" w:rsidRDefault="001B345D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21"/>
              <w:ind w:right="308"/>
              <w:rPr>
                <w:i/>
              </w:rPr>
            </w:pPr>
            <w:r>
              <w:t xml:space="preserve">Electioneering communication telephone solicitation – </w:t>
            </w:r>
            <w:r>
              <w:rPr>
                <w:i/>
              </w:rPr>
              <w:t>see §§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106.1439</w:t>
            </w:r>
            <w:r>
              <w:rPr>
                <w:i/>
              </w:rPr>
              <w:t>(2) &amp;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106.147</w:t>
            </w:r>
            <w:r>
              <w:rPr>
                <w:i/>
              </w:rPr>
              <w:t>, F.S.</w:t>
            </w:r>
          </w:p>
        </w:tc>
      </w:tr>
      <w:tr w:rsidR="007F6673">
        <w:trPr>
          <w:trHeight w:val="6115"/>
        </w:trPr>
        <w:tc>
          <w:tcPr>
            <w:tcW w:w="289" w:type="dxa"/>
            <w:vMerge/>
            <w:tcBorders>
              <w:top w:val="nil"/>
              <w:left w:val="double" w:sz="1" w:space="0" w:color="000000"/>
              <w:bottom w:val="nil"/>
              <w:right w:val="single" w:sz="4" w:space="0" w:color="000000"/>
            </w:tcBorders>
          </w:tcPr>
          <w:p w:rsidR="007F6673" w:rsidRDefault="007F6673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1"/>
              <w:rPr>
                <w:b/>
              </w:rPr>
            </w:pPr>
            <w:r>
              <w:rPr>
                <w:b/>
                <w:color w:val="0000FF"/>
              </w:rPr>
              <w:t>Pros/Cons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3"/>
              <w:rPr>
                <w:b/>
              </w:rPr>
            </w:pPr>
            <w:r>
              <w:rPr>
                <w:b/>
              </w:rPr>
              <w:t>Pros: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18"/>
            </w:pPr>
            <w:r>
              <w:t>May accept unlimited</w:t>
            </w:r>
            <w:r>
              <w:rPr>
                <w:spacing w:val="-3"/>
              </w:rPr>
              <w:t xml:space="preserve"> </w:t>
            </w:r>
            <w:r>
              <w:t>contributions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1"/>
            </w:pPr>
            <w:r>
              <w:t>May communicate with</w:t>
            </w:r>
            <w:r>
              <w:rPr>
                <w:spacing w:val="-2"/>
              </w:rPr>
              <w:t xml:space="preserve"> </w:t>
            </w:r>
            <w:r>
              <w:t>public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0"/>
            </w:pPr>
            <w:r>
              <w:t>May expressly</w:t>
            </w:r>
            <w:r>
              <w:rPr>
                <w:spacing w:val="-5"/>
              </w:rPr>
              <w:t xml:space="preserve"> </w:t>
            </w:r>
            <w:r>
              <w:t>advocate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1"/>
              <w:ind w:right="177"/>
            </w:pPr>
            <w:r>
              <w:t>May contribute to candidate, political party, or any other political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18"/>
              <w:ind w:right="265"/>
            </w:pPr>
            <w:r>
              <w:t>May make electioneering communications, which are not considered contributions to the candidate</w:t>
            </w: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1B345D">
            <w:pPr>
              <w:pStyle w:val="TableParagraph"/>
              <w:spacing w:before="140"/>
              <w:ind w:left="113"/>
              <w:rPr>
                <w:b/>
              </w:rPr>
            </w:pPr>
            <w:r>
              <w:rPr>
                <w:b/>
              </w:rPr>
              <w:t>Cons:</w:t>
            </w:r>
          </w:p>
          <w:p w:rsidR="007F6673" w:rsidRDefault="001B345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21"/>
              <w:ind w:right="120"/>
            </w:pPr>
            <w:r>
              <w:t>Cannot coordinate with the candidate on political advertisements without the political advertisement becoming a contribution to the candidate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7F6673" w:rsidRDefault="001B345D">
            <w:pPr>
              <w:pStyle w:val="TableParagraph"/>
              <w:spacing w:before="112"/>
              <w:ind w:left="116"/>
              <w:rPr>
                <w:b/>
              </w:rPr>
            </w:pPr>
            <w:r>
              <w:rPr>
                <w:b/>
              </w:rPr>
              <w:t>Pros: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18"/>
            </w:pPr>
            <w:r>
              <w:t>May accept unlimited</w:t>
            </w:r>
            <w:r>
              <w:rPr>
                <w:spacing w:val="-3"/>
              </w:rPr>
              <w:t xml:space="preserve"> </w:t>
            </w:r>
            <w:r>
              <w:t>contributions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21"/>
            </w:pPr>
            <w:r>
              <w:t>May communicate with</w:t>
            </w:r>
            <w:r>
              <w:rPr>
                <w:spacing w:val="-2"/>
              </w:rPr>
              <w:t xml:space="preserve"> </w:t>
            </w:r>
            <w:r>
              <w:t>public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20"/>
              <w:ind w:right="291"/>
              <w:rPr>
                <w:i/>
              </w:rPr>
            </w:pPr>
            <w:r>
              <w:t>May coordinate with candidates on electioneer</w:t>
            </w:r>
            <w:r>
              <w:t xml:space="preserve">ing communications (not subject to the limitations applicable to independent expenditures)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</w:rPr>
              <w:t xml:space="preserve"> </w:t>
            </w:r>
            <w:r>
              <w:rPr>
                <w:i/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(8)(d),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19"/>
              <w:ind w:right="172"/>
              <w:rPr>
                <w:i/>
              </w:rPr>
            </w:pPr>
            <w:r>
              <w:t xml:space="preserve">Expenditures made for, or in furtherance of, an electioneering communication are not considered a contribution to the candidate </w:t>
            </w:r>
            <w:r>
              <w:rPr>
                <w:i/>
              </w:rPr>
              <w:t>(§</w:t>
            </w:r>
            <w:r>
              <w:rPr>
                <w:i/>
                <w:color w:val="0562C1"/>
                <w:u w:val="single" w:color="0562C1"/>
              </w:rPr>
              <w:t xml:space="preserve"> </w:t>
            </w:r>
            <w:r>
              <w:rPr>
                <w:color w:val="0562C1"/>
                <w:u w:val="single" w:color="0562C1"/>
              </w:rPr>
              <w:t>106.011</w:t>
            </w:r>
            <w:r>
              <w:rPr>
                <w:i/>
              </w:rPr>
              <w:t>(8)</w:t>
            </w:r>
            <w:r>
              <w:rPr>
                <w:i/>
              </w:rPr>
              <w:t>(c),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F.S.)</w:t>
            </w:r>
          </w:p>
          <w:p w:rsidR="007F6673" w:rsidRDefault="007F6673">
            <w:pPr>
              <w:pStyle w:val="TableParagraph"/>
              <w:rPr>
                <w:rFonts w:ascii="Times New Roman"/>
              </w:rPr>
            </w:pPr>
          </w:p>
          <w:p w:rsidR="007F6673" w:rsidRDefault="007F6673">
            <w:pPr>
              <w:pStyle w:val="TableParagraph"/>
              <w:spacing w:before="4"/>
              <w:rPr>
                <w:rFonts w:ascii="Times New Roman"/>
              </w:rPr>
            </w:pPr>
          </w:p>
          <w:p w:rsidR="007F6673" w:rsidRDefault="001B345D">
            <w:pPr>
              <w:pStyle w:val="TableParagraph"/>
              <w:spacing w:before="1"/>
              <w:ind w:left="116"/>
              <w:rPr>
                <w:b/>
              </w:rPr>
            </w:pPr>
            <w:r>
              <w:rPr>
                <w:b/>
              </w:rPr>
              <w:t>Cons: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20"/>
            </w:pPr>
            <w:r>
              <w:t>May not expressly</w:t>
            </w:r>
            <w:r>
              <w:rPr>
                <w:spacing w:val="-4"/>
              </w:rPr>
              <w:t xml:space="preserve"> </w:t>
            </w:r>
            <w:r>
              <w:t>advocate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18"/>
              <w:ind w:right="421"/>
            </w:pPr>
            <w:r>
              <w:t>May not contribute to candidates, political parties, affiliated party committees, or political</w:t>
            </w:r>
            <w:r>
              <w:rPr>
                <w:spacing w:val="-1"/>
              </w:rPr>
              <w:t xml:space="preserve"> </w:t>
            </w:r>
            <w:r>
              <w:t>committees</w:t>
            </w:r>
          </w:p>
          <w:p w:rsidR="007F6673" w:rsidRDefault="001B34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21" w:line="268" w:lineRule="exact"/>
            </w:pPr>
            <w:r>
              <w:t>Cannot use credit</w:t>
            </w:r>
            <w:r>
              <w:rPr>
                <w:spacing w:val="-4"/>
              </w:rPr>
              <w:t xml:space="preserve"> </w:t>
            </w:r>
            <w:r>
              <w:t>card</w:t>
            </w:r>
          </w:p>
        </w:tc>
      </w:tr>
      <w:tr w:rsidR="007F6673">
        <w:trPr>
          <w:trHeight w:val="4458"/>
        </w:trPr>
        <w:tc>
          <w:tcPr>
            <w:tcW w:w="289" w:type="dxa"/>
            <w:tcBorders>
              <w:top w:val="nil"/>
              <w:left w:val="double" w:sz="1" w:space="0" w:color="000000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Florida Department of State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right w:val="nil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ind w:left="1001"/>
              <w:rPr>
                <w:sz w:val="16"/>
              </w:rPr>
            </w:pPr>
            <w:r>
              <w:rPr>
                <w:sz w:val="16"/>
              </w:rPr>
              <w:t>DE Reference Guide 0017 – PCs and ECOs (06/2019)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right w:val="double" w:sz="1" w:space="0" w:color="000000"/>
            </w:tcBorders>
          </w:tcPr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rPr>
                <w:rFonts w:ascii="Times New Roman"/>
                <w:sz w:val="16"/>
              </w:rPr>
            </w:pPr>
          </w:p>
          <w:p w:rsidR="007F6673" w:rsidRDefault="007F667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F6673" w:rsidRDefault="001B345D">
            <w:pPr>
              <w:pStyle w:val="TableParagraph"/>
              <w:ind w:right="369"/>
              <w:jc w:val="right"/>
              <w:rPr>
                <w:sz w:val="16"/>
              </w:rPr>
            </w:pPr>
            <w:r>
              <w:rPr>
                <w:sz w:val="16"/>
              </w:rPr>
              <w:t>Page 4 of 4</w:t>
            </w:r>
          </w:p>
        </w:tc>
      </w:tr>
    </w:tbl>
    <w:p w:rsidR="007F6673" w:rsidRDefault="001B345D">
      <w:pPr>
        <w:rPr>
          <w:sz w:val="2"/>
          <w:szCs w:val="2"/>
        </w:rPr>
      </w:pPr>
      <w:r>
        <w:pict>
          <v:line id="_x0000_s1026" style="position:absolute;z-index:-13288;mso-position-horizontal-relative:page;mso-position-vertical-relative:page" from="28.5pt,733.75pt" to="581.5pt,733.75pt">
            <w10:wrap anchorx="page" anchory="page"/>
          </v:line>
        </w:pict>
      </w:r>
    </w:p>
    <w:sectPr w:rsidR="007F6673">
      <w:pgSz w:w="12240" w:h="15840"/>
      <w:pgMar w:top="5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B5"/>
    <w:multiLevelType w:val="hybridMultilevel"/>
    <w:tmpl w:val="B5D898D4"/>
    <w:lvl w:ilvl="0" w:tplc="98C2B8C8">
      <w:numFmt w:val="bullet"/>
      <w:lvlText w:val=""/>
      <w:lvlJc w:val="left"/>
      <w:pPr>
        <w:ind w:left="32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886543C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en-US"/>
      </w:rPr>
    </w:lvl>
    <w:lvl w:ilvl="2" w:tplc="FDB4975C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en-US"/>
      </w:rPr>
    </w:lvl>
    <w:lvl w:ilvl="3" w:tplc="09C2CFC0">
      <w:numFmt w:val="bullet"/>
      <w:lvlText w:val="•"/>
      <w:lvlJc w:val="left"/>
      <w:pPr>
        <w:ind w:left="1558" w:hanging="180"/>
      </w:pPr>
      <w:rPr>
        <w:rFonts w:hint="default"/>
        <w:lang w:val="en-US" w:eastAsia="en-US" w:bidi="en-US"/>
      </w:rPr>
    </w:lvl>
    <w:lvl w:ilvl="4" w:tplc="7C122066">
      <w:numFmt w:val="bullet"/>
      <w:lvlText w:val="•"/>
      <w:lvlJc w:val="left"/>
      <w:pPr>
        <w:ind w:left="1970" w:hanging="180"/>
      </w:pPr>
      <w:rPr>
        <w:rFonts w:hint="default"/>
        <w:lang w:val="en-US" w:eastAsia="en-US" w:bidi="en-US"/>
      </w:rPr>
    </w:lvl>
    <w:lvl w:ilvl="5" w:tplc="637E2DA0">
      <w:numFmt w:val="bullet"/>
      <w:lvlText w:val="•"/>
      <w:lvlJc w:val="left"/>
      <w:pPr>
        <w:ind w:left="2383" w:hanging="180"/>
      </w:pPr>
      <w:rPr>
        <w:rFonts w:hint="default"/>
        <w:lang w:val="en-US" w:eastAsia="en-US" w:bidi="en-US"/>
      </w:rPr>
    </w:lvl>
    <w:lvl w:ilvl="6" w:tplc="A726D00E">
      <w:numFmt w:val="bullet"/>
      <w:lvlText w:val="•"/>
      <w:lvlJc w:val="left"/>
      <w:pPr>
        <w:ind w:left="2796" w:hanging="180"/>
      </w:pPr>
      <w:rPr>
        <w:rFonts w:hint="default"/>
        <w:lang w:val="en-US" w:eastAsia="en-US" w:bidi="en-US"/>
      </w:rPr>
    </w:lvl>
    <w:lvl w:ilvl="7" w:tplc="3958357E">
      <w:numFmt w:val="bullet"/>
      <w:lvlText w:val="•"/>
      <w:lvlJc w:val="left"/>
      <w:pPr>
        <w:ind w:left="3208" w:hanging="180"/>
      </w:pPr>
      <w:rPr>
        <w:rFonts w:hint="default"/>
        <w:lang w:val="en-US" w:eastAsia="en-US" w:bidi="en-US"/>
      </w:rPr>
    </w:lvl>
    <w:lvl w:ilvl="8" w:tplc="6E8C5B72">
      <w:numFmt w:val="bullet"/>
      <w:lvlText w:val="•"/>
      <w:lvlJc w:val="left"/>
      <w:pPr>
        <w:ind w:left="3621" w:hanging="180"/>
      </w:pPr>
      <w:rPr>
        <w:rFonts w:hint="default"/>
        <w:lang w:val="en-US" w:eastAsia="en-US" w:bidi="en-US"/>
      </w:rPr>
    </w:lvl>
  </w:abstractNum>
  <w:abstractNum w:abstractNumId="1">
    <w:nsid w:val="22AA1358"/>
    <w:multiLevelType w:val="hybridMultilevel"/>
    <w:tmpl w:val="76B0A0D8"/>
    <w:lvl w:ilvl="0" w:tplc="2048EB90">
      <w:numFmt w:val="bullet"/>
      <w:lvlText w:val=""/>
      <w:lvlJc w:val="left"/>
      <w:pPr>
        <w:ind w:left="327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70696C">
      <w:numFmt w:val="bullet"/>
      <w:lvlText w:val="•"/>
      <w:lvlJc w:val="left"/>
      <w:pPr>
        <w:ind w:left="742" w:hanging="180"/>
      </w:pPr>
      <w:rPr>
        <w:rFonts w:hint="default"/>
        <w:lang w:val="en-US" w:eastAsia="en-US" w:bidi="en-US"/>
      </w:rPr>
    </w:lvl>
    <w:lvl w:ilvl="2" w:tplc="EF62271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en-US"/>
      </w:rPr>
    </w:lvl>
    <w:lvl w:ilvl="3" w:tplc="38966086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4" w:tplc="49B28B72">
      <w:numFmt w:val="bullet"/>
      <w:lvlText w:val="•"/>
      <w:lvlJc w:val="left"/>
      <w:pPr>
        <w:ind w:left="2009" w:hanging="180"/>
      </w:pPr>
      <w:rPr>
        <w:rFonts w:hint="default"/>
        <w:lang w:val="en-US" w:eastAsia="en-US" w:bidi="en-US"/>
      </w:rPr>
    </w:lvl>
    <w:lvl w:ilvl="5" w:tplc="07A25414">
      <w:numFmt w:val="bullet"/>
      <w:lvlText w:val="•"/>
      <w:lvlJc w:val="left"/>
      <w:pPr>
        <w:ind w:left="2431" w:hanging="180"/>
      </w:pPr>
      <w:rPr>
        <w:rFonts w:hint="default"/>
        <w:lang w:val="en-US" w:eastAsia="en-US" w:bidi="en-US"/>
      </w:rPr>
    </w:lvl>
    <w:lvl w:ilvl="6" w:tplc="01682A56">
      <w:numFmt w:val="bullet"/>
      <w:lvlText w:val="•"/>
      <w:lvlJc w:val="left"/>
      <w:pPr>
        <w:ind w:left="2854" w:hanging="180"/>
      </w:pPr>
      <w:rPr>
        <w:rFonts w:hint="default"/>
        <w:lang w:val="en-US" w:eastAsia="en-US" w:bidi="en-US"/>
      </w:rPr>
    </w:lvl>
    <w:lvl w:ilvl="7" w:tplc="7C204498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09520A5A"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en-US"/>
      </w:rPr>
    </w:lvl>
  </w:abstractNum>
  <w:abstractNum w:abstractNumId="2">
    <w:nsid w:val="2302447A"/>
    <w:multiLevelType w:val="hybridMultilevel"/>
    <w:tmpl w:val="81982A5A"/>
    <w:lvl w:ilvl="0" w:tplc="254A0E9C">
      <w:numFmt w:val="bullet"/>
      <w:lvlText w:val=""/>
      <w:lvlJc w:val="left"/>
      <w:pPr>
        <w:ind w:left="32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7E4B52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en-US"/>
      </w:rPr>
    </w:lvl>
    <w:lvl w:ilvl="2" w:tplc="FF3C50B4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en-US"/>
      </w:rPr>
    </w:lvl>
    <w:lvl w:ilvl="3" w:tplc="7ECE2D12">
      <w:numFmt w:val="bullet"/>
      <w:lvlText w:val="•"/>
      <w:lvlJc w:val="left"/>
      <w:pPr>
        <w:ind w:left="1558" w:hanging="180"/>
      </w:pPr>
      <w:rPr>
        <w:rFonts w:hint="default"/>
        <w:lang w:val="en-US" w:eastAsia="en-US" w:bidi="en-US"/>
      </w:rPr>
    </w:lvl>
    <w:lvl w:ilvl="4" w:tplc="58960ED8">
      <w:numFmt w:val="bullet"/>
      <w:lvlText w:val="•"/>
      <w:lvlJc w:val="left"/>
      <w:pPr>
        <w:ind w:left="1970" w:hanging="180"/>
      </w:pPr>
      <w:rPr>
        <w:rFonts w:hint="default"/>
        <w:lang w:val="en-US" w:eastAsia="en-US" w:bidi="en-US"/>
      </w:rPr>
    </w:lvl>
    <w:lvl w:ilvl="5" w:tplc="E90AE16E">
      <w:numFmt w:val="bullet"/>
      <w:lvlText w:val="•"/>
      <w:lvlJc w:val="left"/>
      <w:pPr>
        <w:ind w:left="2383" w:hanging="180"/>
      </w:pPr>
      <w:rPr>
        <w:rFonts w:hint="default"/>
        <w:lang w:val="en-US" w:eastAsia="en-US" w:bidi="en-US"/>
      </w:rPr>
    </w:lvl>
    <w:lvl w:ilvl="6" w:tplc="BDA2793C">
      <w:numFmt w:val="bullet"/>
      <w:lvlText w:val="•"/>
      <w:lvlJc w:val="left"/>
      <w:pPr>
        <w:ind w:left="2796" w:hanging="180"/>
      </w:pPr>
      <w:rPr>
        <w:rFonts w:hint="default"/>
        <w:lang w:val="en-US" w:eastAsia="en-US" w:bidi="en-US"/>
      </w:rPr>
    </w:lvl>
    <w:lvl w:ilvl="7" w:tplc="94A8A03C">
      <w:numFmt w:val="bullet"/>
      <w:lvlText w:val="•"/>
      <w:lvlJc w:val="left"/>
      <w:pPr>
        <w:ind w:left="3208" w:hanging="180"/>
      </w:pPr>
      <w:rPr>
        <w:rFonts w:hint="default"/>
        <w:lang w:val="en-US" w:eastAsia="en-US" w:bidi="en-US"/>
      </w:rPr>
    </w:lvl>
    <w:lvl w:ilvl="8" w:tplc="BC3E0EC4">
      <w:numFmt w:val="bullet"/>
      <w:lvlText w:val="•"/>
      <w:lvlJc w:val="left"/>
      <w:pPr>
        <w:ind w:left="3621" w:hanging="180"/>
      </w:pPr>
      <w:rPr>
        <w:rFonts w:hint="default"/>
        <w:lang w:val="en-US" w:eastAsia="en-US" w:bidi="en-US"/>
      </w:rPr>
    </w:lvl>
  </w:abstractNum>
  <w:abstractNum w:abstractNumId="3">
    <w:nsid w:val="2A51334D"/>
    <w:multiLevelType w:val="hybridMultilevel"/>
    <w:tmpl w:val="90F0AFC2"/>
    <w:lvl w:ilvl="0" w:tplc="5A82A2D2">
      <w:start w:val="1"/>
      <w:numFmt w:val="decimal"/>
      <w:lvlText w:val="%1."/>
      <w:lvlJc w:val="left"/>
      <w:pPr>
        <w:ind w:left="386" w:hanging="27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0588C7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C6CB8CE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58B8F76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4" w:tplc="A7F8547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5" w:tplc="02689B24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6" w:tplc="20C6917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7" w:tplc="BF78D706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en-US"/>
      </w:rPr>
    </w:lvl>
    <w:lvl w:ilvl="8" w:tplc="AB149BE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abstractNum w:abstractNumId="4">
    <w:nsid w:val="2C0279BF"/>
    <w:multiLevelType w:val="hybridMultilevel"/>
    <w:tmpl w:val="C2780B92"/>
    <w:lvl w:ilvl="0" w:tplc="3A0C58C8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24A482">
      <w:numFmt w:val="bullet"/>
      <w:lvlText w:val="•"/>
      <w:lvlJc w:val="left"/>
      <w:pPr>
        <w:ind w:left="742" w:hanging="180"/>
      </w:pPr>
      <w:rPr>
        <w:rFonts w:hint="default"/>
        <w:lang w:val="en-US" w:eastAsia="en-US" w:bidi="en-US"/>
      </w:rPr>
    </w:lvl>
    <w:lvl w:ilvl="2" w:tplc="888840E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en-US"/>
      </w:rPr>
    </w:lvl>
    <w:lvl w:ilvl="3" w:tplc="5A70DCFA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4" w:tplc="2494B0C2">
      <w:numFmt w:val="bullet"/>
      <w:lvlText w:val="•"/>
      <w:lvlJc w:val="left"/>
      <w:pPr>
        <w:ind w:left="2009" w:hanging="180"/>
      </w:pPr>
      <w:rPr>
        <w:rFonts w:hint="default"/>
        <w:lang w:val="en-US" w:eastAsia="en-US" w:bidi="en-US"/>
      </w:rPr>
    </w:lvl>
    <w:lvl w:ilvl="5" w:tplc="B0BCAF5E">
      <w:numFmt w:val="bullet"/>
      <w:lvlText w:val="•"/>
      <w:lvlJc w:val="left"/>
      <w:pPr>
        <w:ind w:left="2431" w:hanging="180"/>
      </w:pPr>
      <w:rPr>
        <w:rFonts w:hint="default"/>
        <w:lang w:val="en-US" w:eastAsia="en-US" w:bidi="en-US"/>
      </w:rPr>
    </w:lvl>
    <w:lvl w:ilvl="6" w:tplc="45EE27EE">
      <w:numFmt w:val="bullet"/>
      <w:lvlText w:val="•"/>
      <w:lvlJc w:val="left"/>
      <w:pPr>
        <w:ind w:left="2854" w:hanging="180"/>
      </w:pPr>
      <w:rPr>
        <w:rFonts w:hint="default"/>
        <w:lang w:val="en-US" w:eastAsia="en-US" w:bidi="en-US"/>
      </w:rPr>
    </w:lvl>
    <w:lvl w:ilvl="7" w:tplc="58EA98F8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C90A2386"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en-US"/>
      </w:rPr>
    </w:lvl>
  </w:abstractNum>
  <w:abstractNum w:abstractNumId="5">
    <w:nsid w:val="2EF4773E"/>
    <w:multiLevelType w:val="hybridMultilevel"/>
    <w:tmpl w:val="D16A6970"/>
    <w:lvl w:ilvl="0" w:tplc="717892DE">
      <w:numFmt w:val="bullet"/>
      <w:lvlText w:val=""/>
      <w:lvlJc w:val="left"/>
      <w:pPr>
        <w:ind w:left="343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00ACE60">
      <w:numFmt w:val="bullet"/>
      <w:lvlText w:val="•"/>
      <w:lvlJc w:val="left"/>
      <w:pPr>
        <w:ind w:left="750" w:hanging="183"/>
      </w:pPr>
      <w:rPr>
        <w:rFonts w:hint="default"/>
        <w:lang w:val="en-US" w:eastAsia="en-US" w:bidi="en-US"/>
      </w:rPr>
    </w:lvl>
    <w:lvl w:ilvl="2" w:tplc="DB8C3526">
      <w:numFmt w:val="bullet"/>
      <w:lvlText w:val="•"/>
      <w:lvlJc w:val="left"/>
      <w:pPr>
        <w:ind w:left="1161" w:hanging="183"/>
      </w:pPr>
      <w:rPr>
        <w:rFonts w:hint="default"/>
        <w:lang w:val="en-US" w:eastAsia="en-US" w:bidi="en-US"/>
      </w:rPr>
    </w:lvl>
    <w:lvl w:ilvl="3" w:tplc="716009F2">
      <w:numFmt w:val="bullet"/>
      <w:lvlText w:val="•"/>
      <w:lvlJc w:val="left"/>
      <w:pPr>
        <w:ind w:left="1572" w:hanging="183"/>
      </w:pPr>
      <w:rPr>
        <w:rFonts w:hint="default"/>
        <w:lang w:val="en-US" w:eastAsia="en-US" w:bidi="en-US"/>
      </w:rPr>
    </w:lvl>
    <w:lvl w:ilvl="4" w:tplc="FAF42318">
      <w:numFmt w:val="bullet"/>
      <w:lvlText w:val="•"/>
      <w:lvlJc w:val="left"/>
      <w:pPr>
        <w:ind w:left="1982" w:hanging="183"/>
      </w:pPr>
      <w:rPr>
        <w:rFonts w:hint="default"/>
        <w:lang w:val="en-US" w:eastAsia="en-US" w:bidi="en-US"/>
      </w:rPr>
    </w:lvl>
    <w:lvl w:ilvl="5" w:tplc="9270466E">
      <w:numFmt w:val="bullet"/>
      <w:lvlText w:val="•"/>
      <w:lvlJc w:val="left"/>
      <w:pPr>
        <w:ind w:left="2393" w:hanging="183"/>
      </w:pPr>
      <w:rPr>
        <w:rFonts w:hint="default"/>
        <w:lang w:val="en-US" w:eastAsia="en-US" w:bidi="en-US"/>
      </w:rPr>
    </w:lvl>
    <w:lvl w:ilvl="6" w:tplc="591E4B4E">
      <w:numFmt w:val="bullet"/>
      <w:lvlText w:val="•"/>
      <w:lvlJc w:val="left"/>
      <w:pPr>
        <w:ind w:left="2804" w:hanging="183"/>
      </w:pPr>
      <w:rPr>
        <w:rFonts w:hint="default"/>
        <w:lang w:val="en-US" w:eastAsia="en-US" w:bidi="en-US"/>
      </w:rPr>
    </w:lvl>
    <w:lvl w:ilvl="7" w:tplc="6E5062FA">
      <w:numFmt w:val="bullet"/>
      <w:lvlText w:val="•"/>
      <w:lvlJc w:val="left"/>
      <w:pPr>
        <w:ind w:left="3214" w:hanging="183"/>
      </w:pPr>
      <w:rPr>
        <w:rFonts w:hint="default"/>
        <w:lang w:val="en-US" w:eastAsia="en-US" w:bidi="en-US"/>
      </w:rPr>
    </w:lvl>
    <w:lvl w:ilvl="8" w:tplc="7EC4B0EE">
      <w:numFmt w:val="bullet"/>
      <w:lvlText w:val="•"/>
      <w:lvlJc w:val="left"/>
      <w:pPr>
        <w:ind w:left="3625" w:hanging="183"/>
      </w:pPr>
      <w:rPr>
        <w:rFonts w:hint="default"/>
        <w:lang w:val="en-US" w:eastAsia="en-US" w:bidi="en-US"/>
      </w:rPr>
    </w:lvl>
  </w:abstractNum>
  <w:abstractNum w:abstractNumId="6">
    <w:nsid w:val="32436279"/>
    <w:multiLevelType w:val="hybridMultilevel"/>
    <w:tmpl w:val="F47A7240"/>
    <w:lvl w:ilvl="0" w:tplc="92AAE708">
      <w:numFmt w:val="bullet"/>
      <w:lvlText w:val=""/>
      <w:lvlJc w:val="left"/>
      <w:pPr>
        <w:ind w:left="32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145D94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en-US"/>
      </w:rPr>
    </w:lvl>
    <w:lvl w:ilvl="2" w:tplc="4EBE5ED2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en-US"/>
      </w:rPr>
    </w:lvl>
    <w:lvl w:ilvl="3" w:tplc="387439DC">
      <w:numFmt w:val="bullet"/>
      <w:lvlText w:val="•"/>
      <w:lvlJc w:val="left"/>
      <w:pPr>
        <w:ind w:left="1558" w:hanging="180"/>
      </w:pPr>
      <w:rPr>
        <w:rFonts w:hint="default"/>
        <w:lang w:val="en-US" w:eastAsia="en-US" w:bidi="en-US"/>
      </w:rPr>
    </w:lvl>
    <w:lvl w:ilvl="4" w:tplc="1F266118">
      <w:numFmt w:val="bullet"/>
      <w:lvlText w:val="•"/>
      <w:lvlJc w:val="left"/>
      <w:pPr>
        <w:ind w:left="1970" w:hanging="180"/>
      </w:pPr>
      <w:rPr>
        <w:rFonts w:hint="default"/>
        <w:lang w:val="en-US" w:eastAsia="en-US" w:bidi="en-US"/>
      </w:rPr>
    </w:lvl>
    <w:lvl w:ilvl="5" w:tplc="6C64C97A">
      <w:numFmt w:val="bullet"/>
      <w:lvlText w:val="•"/>
      <w:lvlJc w:val="left"/>
      <w:pPr>
        <w:ind w:left="2383" w:hanging="180"/>
      </w:pPr>
      <w:rPr>
        <w:rFonts w:hint="default"/>
        <w:lang w:val="en-US" w:eastAsia="en-US" w:bidi="en-US"/>
      </w:rPr>
    </w:lvl>
    <w:lvl w:ilvl="6" w:tplc="EFB47002">
      <w:numFmt w:val="bullet"/>
      <w:lvlText w:val="•"/>
      <w:lvlJc w:val="left"/>
      <w:pPr>
        <w:ind w:left="2796" w:hanging="180"/>
      </w:pPr>
      <w:rPr>
        <w:rFonts w:hint="default"/>
        <w:lang w:val="en-US" w:eastAsia="en-US" w:bidi="en-US"/>
      </w:rPr>
    </w:lvl>
    <w:lvl w:ilvl="7" w:tplc="5796748C">
      <w:numFmt w:val="bullet"/>
      <w:lvlText w:val="•"/>
      <w:lvlJc w:val="left"/>
      <w:pPr>
        <w:ind w:left="3208" w:hanging="180"/>
      </w:pPr>
      <w:rPr>
        <w:rFonts w:hint="default"/>
        <w:lang w:val="en-US" w:eastAsia="en-US" w:bidi="en-US"/>
      </w:rPr>
    </w:lvl>
    <w:lvl w:ilvl="8" w:tplc="ABECF520">
      <w:numFmt w:val="bullet"/>
      <w:lvlText w:val="•"/>
      <w:lvlJc w:val="left"/>
      <w:pPr>
        <w:ind w:left="3621" w:hanging="180"/>
      </w:pPr>
      <w:rPr>
        <w:rFonts w:hint="default"/>
        <w:lang w:val="en-US" w:eastAsia="en-US" w:bidi="en-US"/>
      </w:rPr>
    </w:lvl>
  </w:abstractNum>
  <w:abstractNum w:abstractNumId="7">
    <w:nsid w:val="413F5334"/>
    <w:multiLevelType w:val="hybridMultilevel"/>
    <w:tmpl w:val="904407C6"/>
    <w:lvl w:ilvl="0" w:tplc="82D81DB6">
      <w:numFmt w:val="bullet"/>
      <w:lvlText w:val=""/>
      <w:lvlJc w:val="left"/>
      <w:pPr>
        <w:ind w:left="313" w:hanging="1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9E07C70">
      <w:numFmt w:val="bullet"/>
      <w:lvlText w:val="•"/>
      <w:lvlJc w:val="left"/>
      <w:pPr>
        <w:ind w:left="742" w:hanging="197"/>
      </w:pPr>
      <w:rPr>
        <w:rFonts w:hint="default"/>
        <w:lang w:val="en-US" w:eastAsia="en-US" w:bidi="en-US"/>
      </w:rPr>
    </w:lvl>
    <w:lvl w:ilvl="2" w:tplc="366E91B2">
      <w:numFmt w:val="bullet"/>
      <w:lvlText w:val="•"/>
      <w:lvlJc w:val="left"/>
      <w:pPr>
        <w:ind w:left="1164" w:hanging="197"/>
      </w:pPr>
      <w:rPr>
        <w:rFonts w:hint="default"/>
        <w:lang w:val="en-US" w:eastAsia="en-US" w:bidi="en-US"/>
      </w:rPr>
    </w:lvl>
    <w:lvl w:ilvl="3" w:tplc="010A2DD2">
      <w:numFmt w:val="bullet"/>
      <w:lvlText w:val="•"/>
      <w:lvlJc w:val="left"/>
      <w:pPr>
        <w:ind w:left="1587" w:hanging="197"/>
      </w:pPr>
      <w:rPr>
        <w:rFonts w:hint="default"/>
        <w:lang w:val="en-US" w:eastAsia="en-US" w:bidi="en-US"/>
      </w:rPr>
    </w:lvl>
    <w:lvl w:ilvl="4" w:tplc="1E3642F6">
      <w:numFmt w:val="bullet"/>
      <w:lvlText w:val="•"/>
      <w:lvlJc w:val="left"/>
      <w:pPr>
        <w:ind w:left="2009" w:hanging="197"/>
      </w:pPr>
      <w:rPr>
        <w:rFonts w:hint="default"/>
        <w:lang w:val="en-US" w:eastAsia="en-US" w:bidi="en-US"/>
      </w:rPr>
    </w:lvl>
    <w:lvl w:ilvl="5" w:tplc="55029F36">
      <w:numFmt w:val="bullet"/>
      <w:lvlText w:val="•"/>
      <w:lvlJc w:val="left"/>
      <w:pPr>
        <w:ind w:left="2431" w:hanging="197"/>
      </w:pPr>
      <w:rPr>
        <w:rFonts w:hint="default"/>
        <w:lang w:val="en-US" w:eastAsia="en-US" w:bidi="en-US"/>
      </w:rPr>
    </w:lvl>
    <w:lvl w:ilvl="6" w:tplc="7C240E3E">
      <w:numFmt w:val="bullet"/>
      <w:lvlText w:val="•"/>
      <w:lvlJc w:val="left"/>
      <w:pPr>
        <w:ind w:left="2854" w:hanging="197"/>
      </w:pPr>
      <w:rPr>
        <w:rFonts w:hint="default"/>
        <w:lang w:val="en-US" w:eastAsia="en-US" w:bidi="en-US"/>
      </w:rPr>
    </w:lvl>
    <w:lvl w:ilvl="7" w:tplc="A3C66E52">
      <w:numFmt w:val="bullet"/>
      <w:lvlText w:val="•"/>
      <w:lvlJc w:val="left"/>
      <w:pPr>
        <w:ind w:left="3276" w:hanging="197"/>
      </w:pPr>
      <w:rPr>
        <w:rFonts w:hint="default"/>
        <w:lang w:val="en-US" w:eastAsia="en-US" w:bidi="en-US"/>
      </w:rPr>
    </w:lvl>
    <w:lvl w:ilvl="8" w:tplc="C9D2F91C">
      <w:numFmt w:val="bullet"/>
      <w:lvlText w:val="•"/>
      <w:lvlJc w:val="left"/>
      <w:pPr>
        <w:ind w:left="3699" w:hanging="197"/>
      </w:pPr>
      <w:rPr>
        <w:rFonts w:hint="default"/>
        <w:lang w:val="en-US" w:eastAsia="en-US" w:bidi="en-US"/>
      </w:rPr>
    </w:lvl>
  </w:abstractNum>
  <w:abstractNum w:abstractNumId="8">
    <w:nsid w:val="499F15B6"/>
    <w:multiLevelType w:val="hybridMultilevel"/>
    <w:tmpl w:val="1DD03F3A"/>
    <w:lvl w:ilvl="0" w:tplc="1FB24D52">
      <w:numFmt w:val="bullet"/>
      <w:lvlText w:val=""/>
      <w:lvlJc w:val="left"/>
      <w:pPr>
        <w:ind w:left="338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C300A96">
      <w:numFmt w:val="bullet"/>
      <w:lvlText w:val="•"/>
      <w:lvlJc w:val="left"/>
      <w:pPr>
        <w:ind w:left="750" w:hanging="180"/>
      </w:pPr>
      <w:rPr>
        <w:rFonts w:hint="default"/>
        <w:lang w:val="en-US" w:eastAsia="en-US" w:bidi="en-US"/>
      </w:rPr>
    </w:lvl>
    <w:lvl w:ilvl="2" w:tplc="6A129470">
      <w:numFmt w:val="bullet"/>
      <w:lvlText w:val="•"/>
      <w:lvlJc w:val="left"/>
      <w:pPr>
        <w:ind w:left="1161" w:hanging="180"/>
      </w:pPr>
      <w:rPr>
        <w:rFonts w:hint="default"/>
        <w:lang w:val="en-US" w:eastAsia="en-US" w:bidi="en-US"/>
      </w:rPr>
    </w:lvl>
    <w:lvl w:ilvl="3" w:tplc="1D70C138">
      <w:numFmt w:val="bullet"/>
      <w:lvlText w:val="•"/>
      <w:lvlJc w:val="left"/>
      <w:pPr>
        <w:ind w:left="1572" w:hanging="180"/>
      </w:pPr>
      <w:rPr>
        <w:rFonts w:hint="default"/>
        <w:lang w:val="en-US" w:eastAsia="en-US" w:bidi="en-US"/>
      </w:rPr>
    </w:lvl>
    <w:lvl w:ilvl="4" w:tplc="2864CFF2">
      <w:numFmt w:val="bullet"/>
      <w:lvlText w:val="•"/>
      <w:lvlJc w:val="left"/>
      <w:pPr>
        <w:ind w:left="1982" w:hanging="180"/>
      </w:pPr>
      <w:rPr>
        <w:rFonts w:hint="default"/>
        <w:lang w:val="en-US" w:eastAsia="en-US" w:bidi="en-US"/>
      </w:rPr>
    </w:lvl>
    <w:lvl w:ilvl="5" w:tplc="FCC22EF0">
      <w:numFmt w:val="bullet"/>
      <w:lvlText w:val="•"/>
      <w:lvlJc w:val="left"/>
      <w:pPr>
        <w:ind w:left="2393" w:hanging="180"/>
      </w:pPr>
      <w:rPr>
        <w:rFonts w:hint="default"/>
        <w:lang w:val="en-US" w:eastAsia="en-US" w:bidi="en-US"/>
      </w:rPr>
    </w:lvl>
    <w:lvl w:ilvl="6" w:tplc="1A98BC94">
      <w:numFmt w:val="bullet"/>
      <w:lvlText w:val="•"/>
      <w:lvlJc w:val="left"/>
      <w:pPr>
        <w:ind w:left="2804" w:hanging="180"/>
      </w:pPr>
      <w:rPr>
        <w:rFonts w:hint="default"/>
        <w:lang w:val="en-US" w:eastAsia="en-US" w:bidi="en-US"/>
      </w:rPr>
    </w:lvl>
    <w:lvl w:ilvl="7" w:tplc="2716BB88">
      <w:numFmt w:val="bullet"/>
      <w:lvlText w:val="•"/>
      <w:lvlJc w:val="left"/>
      <w:pPr>
        <w:ind w:left="3214" w:hanging="180"/>
      </w:pPr>
      <w:rPr>
        <w:rFonts w:hint="default"/>
        <w:lang w:val="en-US" w:eastAsia="en-US" w:bidi="en-US"/>
      </w:rPr>
    </w:lvl>
    <w:lvl w:ilvl="8" w:tplc="EE082D3C">
      <w:numFmt w:val="bullet"/>
      <w:lvlText w:val="•"/>
      <w:lvlJc w:val="left"/>
      <w:pPr>
        <w:ind w:left="3625" w:hanging="180"/>
      </w:pPr>
      <w:rPr>
        <w:rFonts w:hint="default"/>
        <w:lang w:val="en-US" w:eastAsia="en-US" w:bidi="en-US"/>
      </w:rPr>
    </w:lvl>
  </w:abstractNum>
  <w:abstractNum w:abstractNumId="9">
    <w:nsid w:val="4DB4349A"/>
    <w:multiLevelType w:val="hybridMultilevel"/>
    <w:tmpl w:val="59FA4BFA"/>
    <w:lvl w:ilvl="0" w:tplc="32D0C018">
      <w:numFmt w:val="bullet"/>
      <w:lvlText w:val=""/>
      <w:lvlJc w:val="left"/>
      <w:pPr>
        <w:ind w:left="311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DAC474">
      <w:start w:val="1"/>
      <w:numFmt w:val="decimal"/>
      <w:lvlText w:val="%2."/>
      <w:lvlJc w:val="left"/>
      <w:pPr>
        <w:ind w:left="594" w:hanging="2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3D3C76F0">
      <w:numFmt w:val="bullet"/>
      <w:lvlText w:val="•"/>
      <w:lvlJc w:val="left"/>
      <w:pPr>
        <w:ind w:left="1035" w:hanging="268"/>
      </w:pPr>
      <w:rPr>
        <w:rFonts w:hint="default"/>
        <w:lang w:val="en-US" w:eastAsia="en-US" w:bidi="en-US"/>
      </w:rPr>
    </w:lvl>
    <w:lvl w:ilvl="3" w:tplc="54B05ACE">
      <w:numFmt w:val="bullet"/>
      <w:lvlText w:val="•"/>
      <w:lvlJc w:val="left"/>
      <w:pPr>
        <w:ind w:left="1470" w:hanging="268"/>
      </w:pPr>
      <w:rPr>
        <w:rFonts w:hint="default"/>
        <w:lang w:val="en-US" w:eastAsia="en-US" w:bidi="en-US"/>
      </w:rPr>
    </w:lvl>
    <w:lvl w:ilvl="4" w:tplc="2174B7CC">
      <w:numFmt w:val="bullet"/>
      <w:lvlText w:val="•"/>
      <w:lvlJc w:val="left"/>
      <w:pPr>
        <w:ind w:left="1906" w:hanging="268"/>
      </w:pPr>
      <w:rPr>
        <w:rFonts w:hint="default"/>
        <w:lang w:val="en-US" w:eastAsia="en-US" w:bidi="en-US"/>
      </w:rPr>
    </w:lvl>
    <w:lvl w:ilvl="5" w:tplc="8C60C2D0">
      <w:numFmt w:val="bullet"/>
      <w:lvlText w:val="•"/>
      <w:lvlJc w:val="left"/>
      <w:pPr>
        <w:ind w:left="2341" w:hanging="268"/>
      </w:pPr>
      <w:rPr>
        <w:rFonts w:hint="default"/>
        <w:lang w:val="en-US" w:eastAsia="en-US" w:bidi="en-US"/>
      </w:rPr>
    </w:lvl>
    <w:lvl w:ilvl="6" w:tplc="35182D56">
      <w:numFmt w:val="bullet"/>
      <w:lvlText w:val="•"/>
      <w:lvlJc w:val="left"/>
      <w:pPr>
        <w:ind w:left="2776" w:hanging="268"/>
      </w:pPr>
      <w:rPr>
        <w:rFonts w:hint="default"/>
        <w:lang w:val="en-US" w:eastAsia="en-US" w:bidi="en-US"/>
      </w:rPr>
    </w:lvl>
    <w:lvl w:ilvl="7" w:tplc="973409E6">
      <w:numFmt w:val="bullet"/>
      <w:lvlText w:val="•"/>
      <w:lvlJc w:val="left"/>
      <w:pPr>
        <w:ind w:left="3212" w:hanging="268"/>
      </w:pPr>
      <w:rPr>
        <w:rFonts w:hint="default"/>
        <w:lang w:val="en-US" w:eastAsia="en-US" w:bidi="en-US"/>
      </w:rPr>
    </w:lvl>
    <w:lvl w:ilvl="8" w:tplc="F91C6E94">
      <w:numFmt w:val="bullet"/>
      <w:lvlText w:val="•"/>
      <w:lvlJc w:val="left"/>
      <w:pPr>
        <w:ind w:left="3647" w:hanging="268"/>
      </w:pPr>
      <w:rPr>
        <w:rFonts w:hint="default"/>
        <w:lang w:val="en-US" w:eastAsia="en-US" w:bidi="en-US"/>
      </w:rPr>
    </w:lvl>
  </w:abstractNum>
  <w:abstractNum w:abstractNumId="10">
    <w:nsid w:val="59E31827"/>
    <w:multiLevelType w:val="hybridMultilevel"/>
    <w:tmpl w:val="6A081492"/>
    <w:lvl w:ilvl="0" w:tplc="8B98AA8E">
      <w:numFmt w:val="bullet"/>
      <w:lvlText w:val=""/>
      <w:lvlJc w:val="left"/>
      <w:pPr>
        <w:ind w:left="337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EE86D6A">
      <w:numFmt w:val="bullet"/>
      <w:lvlText w:val="•"/>
      <w:lvlJc w:val="left"/>
      <w:pPr>
        <w:ind w:left="750" w:hanging="212"/>
      </w:pPr>
      <w:rPr>
        <w:rFonts w:hint="default"/>
        <w:lang w:val="en-US" w:eastAsia="en-US" w:bidi="en-US"/>
      </w:rPr>
    </w:lvl>
    <w:lvl w:ilvl="2" w:tplc="0F3E3922">
      <w:numFmt w:val="bullet"/>
      <w:lvlText w:val="•"/>
      <w:lvlJc w:val="left"/>
      <w:pPr>
        <w:ind w:left="1161" w:hanging="212"/>
      </w:pPr>
      <w:rPr>
        <w:rFonts w:hint="default"/>
        <w:lang w:val="en-US" w:eastAsia="en-US" w:bidi="en-US"/>
      </w:rPr>
    </w:lvl>
    <w:lvl w:ilvl="3" w:tplc="4FD02EBA">
      <w:numFmt w:val="bullet"/>
      <w:lvlText w:val="•"/>
      <w:lvlJc w:val="left"/>
      <w:pPr>
        <w:ind w:left="1572" w:hanging="212"/>
      </w:pPr>
      <w:rPr>
        <w:rFonts w:hint="default"/>
        <w:lang w:val="en-US" w:eastAsia="en-US" w:bidi="en-US"/>
      </w:rPr>
    </w:lvl>
    <w:lvl w:ilvl="4" w:tplc="1096A844">
      <w:numFmt w:val="bullet"/>
      <w:lvlText w:val="•"/>
      <w:lvlJc w:val="left"/>
      <w:pPr>
        <w:ind w:left="1983" w:hanging="212"/>
      </w:pPr>
      <w:rPr>
        <w:rFonts w:hint="default"/>
        <w:lang w:val="en-US" w:eastAsia="en-US" w:bidi="en-US"/>
      </w:rPr>
    </w:lvl>
    <w:lvl w:ilvl="5" w:tplc="CC10075E">
      <w:numFmt w:val="bullet"/>
      <w:lvlText w:val="•"/>
      <w:lvlJc w:val="left"/>
      <w:pPr>
        <w:ind w:left="2394" w:hanging="212"/>
      </w:pPr>
      <w:rPr>
        <w:rFonts w:hint="default"/>
        <w:lang w:val="en-US" w:eastAsia="en-US" w:bidi="en-US"/>
      </w:rPr>
    </w:lvl>
    <w:lvl w:ilvl="6" w:tplc="19F2BE32">
      <w:numFmt w:val="bullet"/>
      <w:lvlText w:val="•"/>
      <w:lvlJc w:val="left"/>
      <w:pPr>
        <w:ind w:left="2804" w:hanging="212"/>
      </w:pPr>
      <w:rPr>
        <w:rFonts w:hint="default"/>
        <w:lang w:val="en-US" w:eastAsia="en-US" w:bidi="en-US"/>
      </w:rPr>
    </w:lvl>
    <w:lvl w:ilvl="7" w:tplc="3EF0FD82">
      <w:numFmt w:val="bullet"/>
      <w:lvlText w:val="•"/>
      <w:lvlJc w:val="left"/>
      <w:pPr>
        <w:ind w:left="3215" w:hanging="212"/>
      </w:pPr>
      <w:rPr>
        <w:rFonts w:hint="default"/>
        <w:lang w:val="en-US" w:eastAsia="en-US" w:bidi="en-US"/>
      </w:rPr>
    </w:lvl>
    <w:lvl w:ilvl="8" w:tplc="278A50E0">
      <w:numFmt w:val="bullet"/>
      <w:lvlText w:val="•"/>
      <w:lvlJc w:val="left"/>
      <w:pPr>
        <w:ind w:left="3626" w:hanging="212"/>
      </w:pPr>
      <w:rPr>
        <w:rFonts w:hint="default"/>
        <w:lang w:val="en-US" w:eastAsia="en-US" w:bidi="en-US"/>
      </w:rPr>
    </w:lvl>
  </w:abstractNum>
  <w:abstractNum w:abstractNumId="11">
    <w:nsid w:val="614E272F"/>
    <w:multiLevelType w:val="hybridMultilevel"/>
    <w:tmpl w:val="F8380386"/>
    <w:lvl w:ilvl="0" w:tplc="70166E70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68CE6">
      <w:numFmt w:val="bullet"/>
      <w:lvlText w:val="•"/>
      <w:lvlJc w:val="left"/>
      <w:pPr>
        <w:ind w:left="742" w:hanging="180"/>
      </w:pPr>
      <w:rPr>
        <w:rFonts w:hint="default"/>
        <w:lang w:val="en-US" w:eastAsia="en-US" w:bidi="en-US"/>
      </w:rPr>
    </w:lvl>
    <w:lvl w:ilvl="2" w:tplc="F516FDD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en-US"/>
      </w:rPr>
    </w:lvl>
    <w:lvl w:ilvl="3" w:tplc="BC14FD86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4" w:tplc="C42089F8">
      <w:numFmt w:val="bullet"/>
      <w:lvlText w:val="•"/>
      <w:lvlJc w:val="left"/>
      <w:pPr>
        <w:ind w:left="2009" w:hanging="180"/>
      </w:pPr>
      <w:rPr>
        <w:rFonts w:hint="default"/>
        <w:lang w:val="en-US" w:eastAsia="en-US" w:bidi="en-US"/>
      </w:rPr>
    </w:lvl>
    <w:lvl w:ilvl="5" w:tplc="79D453F4">
      <w:numFmt w:val="bullet"/>
      <w:lvlText w:val="•"/>
      <w:lvlJc w:val="left"/>
      <w:pPr>
        <w:ind w:left="2431" w:hanging="180"/>
      </w:pPr>
      <w:rPr>
        <w:rFonts w:hint="default"/>
        <w:lang w:val="en-US" w:eastAsia="en-US" w:bidi="en-US"/>
      </w:rPr>
    </w:lvl>
    <w:lvl w:ilvl="6" w:tplc="504CDBB2">
      <w:numFmt w:val="bullet"/>
      <w:lvlText w:val="•"/>
      <w:lvlJc w:val="left"/>
      <w:pPr>
        <w:ind w:left="2854" w:hanging="180"/>
      </w:pPr>
      <w:rPr>
        <w:rFonts w:hint="default"/>
        <w:lang w:val="en-US" w:eastAsia="en-US" w:bidi="en-US"/>
      </w:rPr>
    </w:lvl>
    <w:lvl w:ilvl="7" w:tplc="DFA69D94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9E0A7184"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en-US"/>
      </w:rPr>
    </w:lvl>
  </w:abstractNum>
  <w:abstractNum w:abstractNumId="12">
    <w:nsid w:val="6CEA1989"/>
    <w:multiLevelType w:val="hybridMultilevel"/>
    <w:tmpl w:val="A6160464"/>
    <w:lvl w:ilvl="0" w:tplc="B7B073C4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F924556">
      <w:numFmt w:val="bullet"/>
      <w:lvlText w:val="•"/>
      <w:lvlJc w:val="left"/>
      <w:pPr>
        <w:ind w:left="742" w:hanging="180"/>
      </w:pPr>
      <w:rPr>
        <w:rFonts w:hint="default"/>
        <w:lang w:val="en-US" w:eastAsia="en-US" w:bidi="en-US"/>
      </w:rPr>
    </w:lvl>
    <w:lvl w:ilvl="2" w:tplc="5E1E2DF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en-US"/>
      </w:rPr>
    </w:lvl>
    <w:lvl w:ilvl="3" w:tplc="3BA47A82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4" w:tplc="54E40E78">
      <w:numFmt w:val="bullet"/>
      <w:lvlText w:val="•"/>
      <w:lvlJc w:val="left"/>
      <w:pPr>
        <w:ind w:left="2009" w:hanging="180"/>
      </w:pPr>
      <w:rPr>
        <w:rFonts w:hint="default"/>
        <w:lang w:val="en-US" w:eastAsia="en-US" w:bidi="en-US"/>
      </w:rPr>
    </w:lvl>
    <w:lvl w:ilvl="5" w:tplc="8DAEB5D0">
      <w:numFmt w:val="bullet"/>
      <w:lvlText w:val="•"/>
      <w:lvlJc w:val="left"/>
      <w:pPr>
        <w:ind w:left="2431" w:hanging="180"/>
      </w:pPr>
      <w:rPr>
        <w:rFonts w:hint="default"/>
        <w:lang w:val="en-US" w:eastAsia="en-US" w:bidi="en-US"/>
      </w:rPr>
    </w:lvl>
    <w:lvl w:ilvl="6" w:tplc="8B3E4C46">
      <w:numFmt w:val="bullet"/>
      <w:lvlText w:val="•"/>
      <w:lvlJc w:val="left"/>
      <w:pPr>
        <w:ind w:left="2854" w:hanging="180"/>
      </w:pPr>
      <w:rPr>
        <w:rFonts w:hint="default"/>
        <w:lang w:val="en-US" w:eastAsia="en-US" w:bidi="en-US"/>
      </w:rPr>
    </w:lvl>
    <w:lvl w:ilvl="7" w:tplc="8FFE6CFA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405A1516"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en-US"/>
      </w:rPr>
    </w:lvl>
  </w:abstractNum>
  <w:abstractNum w:abstractNumId="13">
    <w:nsid w:val="735E2D49"/>
    <w:multiLevelType w:val="hybridMultilevel"/>
    <w:tmpl w:val="08A4F75A"/>
    <w:lvl w:ilvl="0" w:tplc="ECCCF3CC">
      <w:start w:val="1"/>
      <w:numFmt w:val="decimal"/>
      <w:lvlText w:val="%1."/>
      <w:lvlJc w:val="left"/>
      <w:pPr>
        <w:ind w:left="383" w:hanging="27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87E27F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D3CFC3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C69E3694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en-US"/>
      </w:rPr>
    </w:lvl>
    <w:lvl w:ilvl="4" w:tplc="56EAC05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5" w:tplc="AA0ABC9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905A303A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7" w:tplc="A14ED8F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8" w:tplc="016A79B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</w:abstractNum>
  <w:abstractNum w:abstractNumId="14">
    <w:nsid w:val="7A7B1F43"/>
    <w:multiLevelType w:val="hybridMultilevel"/>
    <w:tmpl w:val="067C0C46"/>
    <w:lvl w:ilvl="0" w:tplc="44863CDC">
      <w:numFmt w:val="bullet"/>
      <w:lvlText w:val=""/>
      <w:lvlJc w:val="left"/>
      <w:pPr>
        <w:ind w:left="313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5A1410">
      <w:numFmt w:val="bullet"/>
      <w:lvlText w:val="•"/>
      <w:lvlJc w:val="left"/>
      <w:pPr>
        <w:ind w:left="742" w:hanging="180"/>
      </w:pPr>
      <w:rPr>
        <w:rFonts w:hint="default"/>
        <w:lang w:val="en-US" w:eastAsia="en-US" w:bidi="en-US"/>
      </w:rPr>
    </w:lvl>
    <w:lvl w:ilvl="2" w:tplc="0396DFB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en-US"/>
      </w:rPr>
    </w:lvl>
    <w:lvl w:ilvl="3" w:tplc="6474124C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4" w:tplc="5D9C8526">
      <w:numFmt w:val="bullet"/>
      <w:lvlText w:val="•"/>
      <w:lvlJc w:val="left"/>
      <w:pPr>
        <w:ind w:left="2009" w:hanging="180"/>
      </w:pPr>
      <w:rPr>
        <w:rFonts w:hint="default"/>
        <w:lang w:val="en-US" w:eastAsia="en-US" w:bidi="en-US"/>
      </w:rPr>
    </w:lvl>
    <w:lvl w:ilvl="5" w:tplc="62C6B648">
      <w:numFmt w:val="bullet"/>
      <w:lvlText w:val="•"/>
      <w:lvlJc w:val="left"/>
      <w:pPr>
        <w:ind w:left="2431" w:hanging="180"/>
      </w:pPr>
      <w:rPr>
        <w:rFonts w:hint="default"/>
        <w:lang w:val="en-US" w:eastAsia="en-US" w:bidi="en-US"/>
      </w:rPr>
    </w:lvl>
    <w:lvl w:ilvl="6" w:tplc="9696727A">
      <w:numFmt w:val="bullet"/>
      <w:lvlText w:val="•"/>
      <w:lvlJc w:val="left"/>
      <w:pPr>
        <w:ind w:left="2854" w:hanging="180"/>
      </w:pPr>
      <w:rPr>
        <w:rFonts w:hint="default"/>
        <w:lang w:val="en-US" w:eastAsia="en-US" w:bidi="en-US"/>
      </w:rPr>
    </w:lvl>
    <w:lvl w:ilvl="7" w:tplc="2FD68792">
      <w:numFmt w:val="bullet"/>
      <w:lvlText w:val="•"/>
      <w:lvlJc w:val="left"/>
      <w:pPr>
        <w:ind w:left="3276" w:hanging="180"/>
      </w:pPr>
      <w:rPr>
        <w:rFonts w:hint="default"/>
        <w:lang w:val="en-US" w:eastAsia="en-US" w:bidi="en-US"/>
      </w:rPr>
    </w:lvl>
    <w:lvl w:ilvl="8" w:tplc="54A81940"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en-US"/>
      </w:rPr>
    </w:lvl>
  </w:abstractNum>
  <w:abstractNum w:abstractNumId="15">
    <w:nsid w:val="7DA14C87"/>
    <w:multiLevelType w:val="hybridMultilevel"/>
    <w:tmpl w:val="41720EF6"/>
    <w:lvl w:ilvl="0" w:tplc="79648C76">
      <w:numFmt w:val="bullet"/>
      <w:lvlText w:val=""/>
      <w:lvlJc w:val="left"/>
      <w:pPr>
        <w:ind w:left="324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70CE6A">
      <w:numFmt w:val="bullet"/>
      <w:lvlText w:val="•"/>
      <w:lvlJc w:val="left"/>
      <w:pPr>
        <w:ind w:left="732" w:hanging="212"/>
      </w:pPr>
      <w:rPr>
        <w:rFonts w:hint="default"/>
        <w:lang w:val="en-US" w:eastAsia="en-US" w:bidi="en-US"/>
      </w:rPr>
    </w:lvl>
    <w:lvl w:ilvl="2" w:tplc="6A166458">
      <w:numFmt w:val="bullet"/>
      <w:lvlText w:val="•"/>
      <w:lvlJc w:val="left"/>
      <w:pPr>
        <w:ind w:left="1145" w:hanging="212"/>
      </w:pPr>
      <w:rPr>
        <w:rFonts w:hint="default"/>
        <w:lang w:val="en-US" w:eastAsia="en-US" w:bidi="en-US"/>
      </w:rPr>
    </w:lvl>
    <w:lvl w:ilvl="3" w:tplc="E774F2D4">
      <w:numFmt w:val="bullet"/>
      <w:lvlText w:val="•"/>
      <w:lvlJc w:val="left"/>
      <w:pPr>
        <w:ind w:left="1558" w:hanging="212"/>
      </w:pPr>
      <w:rPr>
        <w:rFonts w:hint="default"/>
        <w:lang w:val="en-US" w:eastAsia="en-US" w:bidi="en-US"/>
      </w:rPr>
    </w:lvl>
    <w:lvl w:ilvl="4" w:tplc="355A0A30">
      <w:numFmt w:val="bullet"/>
      <w:lvlText w:val="•"/>
      <w:lvlJc w:val="left"/>
      <w:pPr>
        <w:ind w:left="1970" w:hanging="212"/>
      </w:pPr>
      <w:rPr>
        <w:rFonts w:hint="default"/>
        <w:lang w:val="en-US" w:eastAsia="en-US" w:bidi="en-US"/>
      </w:rPr>
    </w:lvl>
    <w:lvl w:ilvl="5" w:tplc="14182014">
      <w:numFmt w:val="bullet"/>
      <w:lvlText w:val="•"/>
      <w:lvlJc w:val="left"/>
      <w:pPr>
        <w:ind w:left="2383" w:hanging="212"/>
      </w:pPr>
      <w:rPr>
        <w:rFonts w:hint="default"/>
        <w:lang w:val="en-US" w:eastAsia="en-US" w:bidi="en-US"/>
      </w:rPr>
    </w:lvl>
    <w:lvl w:ilvl="6" w:tplc="04EC4398">
      <w:numFmt w:val="bullet"/>
      <w:lvlText w:val="•"/>
      <w:lvlJc w:val="left"/>
      <w:pPr>
        <w:ind w:left="2796" w:hanging="212"/>
      </w:pPr>
      <w:rPr>
        <w:rFonts w:hint="default"/>
        <w:lang w:val="en-US" w:eastAsia="en-US" w:bidi="en-US"/>
      </w:rPr>
    </w:lvl>
    <w:lvl w:ilvl="7" w:tplc="A1CECA0E">
      <w:numFmt w:val="bullet"/>
      <w:lvlText w:val="•"/>
      <w:lvlJc w:val="left"/>
      <w:pPr>
        <w:ind w:left="3208" w:hanging="212"/>
      </w:pPr>
      <w:rPr>
        <w:rFonts w:hint="default"/>
        <w:lang w:val="en-US" w:eastAsia="en-US" w:bidi="en-US"/>
      </w:rPr>
    </w:lvl>
    <w:lvl w:ilvl="8" w:tplc="2F4A790C">
      <w:numFmt w:val="bullet"/>
      <w:lvlText w:val="•"/>
      <w:lvlJc w:val="left"/>
      <w:pPr>
        <w:ind w:left="3621" w:hanging="212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6673"/>
    <w:rsid w:val="001B345D"/>
    <w:rsid w:val="007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5D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.myflorida.com/elections/laws-rules/advisory-opinions/advisory-opinions-by-ye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.myflorida.com/elections/laws-rules/advisory-opinions/advisory-opinions-by-ye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.myflorida.com/elections/candidates-committees/campaign-fin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.myflorida.com/elections/candidates-committees/campaign-f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Maria I.</dc:creator>
  <cp:lastModifiedBy>coj</cp:lastModifiedBy>
  <cp:revision>2</cp:revision>
  <dcterms:created xsi:type="dcterms:W3CDTF">2019-08-28T19:22:00Z</dcterms:created>
  <dcterms:modified xsi:type="dcterms:W3CDTF">2019-08-28T19:22:00Z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